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JTAPI/247/2024 vom 4. Oktober 2022</w:t>
      </w:r>
    </w:p>
    <w:p>
      <w:r>
        <w:t>GE Cour de justice, 2022-10-04, FR</w:t>
      </w:r>
    </w:p>
    <w:p>
      <w:r>
        <w:rPr>
          <w:b/>
        </w:rPr>
        <w:t xml:space="preserve">Quelle: </w:t>
      </w:r>
      <w:r>
        <w:t>https://mcp.opencaselaw.ch/entscheid/ge_gerichte_JTAPI_247_2024</w:t>
      </w:r>
    </w:p>
    <w:p>
      <w:r>
        <w:t>FR: GE_GERICHTE JTAPI/247/2024 du 4 octobre 2022</w:t>
      </w:r>
    </w:p>
    <w:p>
      <w:r>
        <w:t>IT: GE_GERICHTE JTAPI/247/2024 del 4 ottobre 2022</w:t>
      </w:r>
    </w:p>
    <w:p>
      <w:pPr>
        <w:pStyle w:val="Heading2"/>
      </w:pPr>
      <w:r>
        <w:t>Erwägungen</w:t>
      </w:r>
    </w:p>
    <w:p>
      <w:r>
        <w:rPr>
          <w:b/>
        </w:rPr>
        <w:t>E. 1</w:t>
      </w:r>
    </w:p>
    <w:p>
      <w:r>
        <w:t>Le Tribunal administratif de première instance connaît des recours dirigés, comme en l’espèce, contre les décisions prises par la ville en application de la loi sur la gestion des déchets du 20 mai 1999 (LGD - L 1 20) (art. 115 al. 2 et 116 al. 1 de la loi sur l’organisation judiciaire du 26 septembre 2010 - LOJ - E 2 05 ; art. 50 LGD).</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La recevabilité du recours suppose encore que son auteur dispose de la qualité pour recourir.</w:t>
      </w:r>
    </w:p>
    <w:p>
      <w:r>
        <w:rPr>
          <w:b/>
        </w:rPr>
        <w:t>E. 4</w:t>
      </w:r>
    </w:p>
    <w:p>
      <w:r>
        <w:t>La qualité pour recourir est reconnue à toute personne atteinte par la décision attaquée et qui dispose d’un intérêt digne de protection à son annulation ou à sa modification (art. 60 al. 1 let. b LPA).</w:t>
      </w:r>
    </w:p>
    <w:p>
      <w:r>
        <w:rPr>
          <w:b/>
        </w:rPr>
        <w:t>E. 5</w:t>
      </w:r>
    </w:p>
    <w:p>
      <w:r>
        <w:t>Un intérêt digne de protection suppose un intérêt actuel à obtenir l'annulation de la décision attaquée (ATF 138 II 42 consid. 1 ; 137 I 23 consid 1.3 Thierry TANQUEREL, Manuel de droit administratif, 2e éd. 2018, n. 1367). L'existence d'un intérêt actuel s'apprécie non seulement au moment du dépôt du recours, mais aussi lors du prononcé de la décision sur recours (ATF 137 I 296 consid. 4.2 ; 136 II 101 consid. 1.1). Il peut toutefois être renoncé à l'exigence d'un tel intérêt, dans la mesure où cette condition ferait obstacle au contrôle de la légalité d'un acte qui pourrait se reproduire en tout temps, dans des circonstances semblables, et qui, en raison de sa brève durée ou de ses effets limités dans le temps, échapperait ainsi toujours à la censure de l'autorité de recours (ATF 139 I 206 consid. 1.1 ; ATA/220/2019 du 5 mars 2019 consid. 2). La condition de l’intérêt actuel fait défaut en particulier lorsque, par exemple, la décision ou la loi est révoquée ou annulée en cours d’instance (ATF 111 Ib 182 consid. 2 ; 110 Ia 140 consid. 2 ; 104 Ia 487 consid. 2 ; ATA/124/2005 du 8 mars 2005 consid. 2), la décision attaquée a été exécutée et a sorti tous ses effets (ATF</w:t>
      </w:r>
    </w:p>
    <w:p>
      <w:r>
        <w:t>- 9/14 - A/2757/2023 125 I 394 consid. 4 ; 120 Ia 165 consid. 1a et les références citées ; ATA/328/2009 du 30 juin 2009 consid. 3), le recourant a payé sans émettre aucune réserve la somme d’argent fixée par la décision litigieuse (ATF 106 Ia 151 ; 99 V 78 ; ATA/1119/2023 du 10 octobre 2023 consid. 1.3).</w:t>
      </w:r>
    </w:p>
    <w:p>
      <w:r>
        <w:rPr>
          <w:b/>
        </w:rPr>
        <w:t>E. 6</w:t>
      </w:r>
    </w:p>
    <w:p>
      <w:r>
        <w:t>En l’espèce, il convient d'admettre que la recourante dispose d'un intérêt digne de protection à recourir contre la décision, quand bien même elle s’est acquittée de l’amende litigieuse, dès lors que la situation litigieuse pourrait encore se présenter. En effet, en tant que concierge de l’immeuble, elle pourrait être amendée une nouvelle fois dans des conditions identiques et la présente amende pourrait être considérée comme un antécédent (ATA/1372/2023 du 12 décembre 2023 consid. 2.2). Au demeurant, il ne peut être retenu que la recourante aurait réglé l’amende litigieuse, sans émettre la moindre réserve. La ville lui a adressé, par erreur, une mise en demeure, sous peine de poursuites et ce, alors que le recours était pendant. A lecture du dossier, il apparaît que la recourante ne s’est acquittée du montant de l’amende de CHF 200.- que pour ce seul motif et non car elle acceptait le principe de l'amende prononcée à son encontre.</w:t>
      </w:r>
    </w:p>
    <w:p>
      <w:r>
        <w:rPr>
          <w:b/>
        </w:rPr>
        <w:t>E. 7</w:t>
      </w:r>
    </w:p>
    <w:p>
      <w:r>
        <w:t>Le litige porte sur l'amende de CHF 200.- prononcée par la ville le 30 juin 2023 à l'encontre de la recourante. Au stade de sa réplique du 27 novembre 2023, cette dernière demande le remboursement de l'amende dont elle s'est déjà acquittée. Cette conclusion est irrecevable au regard des conditions formelles de l’art. 65 LPA, qui interdit l’amplification de conclusions ou la prise de nouvelles conclusions après le dépôt du recours (ATA/104/2014 du 18 février 2014; ATA/781/2013 du</w:t>
      </w:r>
    </w:p>
    <w:p>
      <w:r>
        <w:rPr>
          <w:b/>
        </w:rPr>
        <w:t>E. 12</w:t>
      </w:r>
    </w:p>
    <w:p>
      <w:r>
        <w:t>Le règlement communal fixe les modalités de la collecte, du transport et de l’élimination des déchets urbains sur son territoire (art. 1 al. 1). Il s'applique à tous les détenteurs de déchets urbains du territoire de la commune (art. 1 al. 2).</w:t>
      </w:r>
    </w:p>
    <w:p>
      <w:r>
        <w:rPr>
          <w:b/>
        </w:rPr>
        <w:t>E. 13</w:t>
      </w:r>
    </w:p>
    <w:p>
      <w:r>
        <w:t>À teneur de l’art. 19 ancien règlement, en vigueur au moment où les faits dont les conséquences juridiques sont en cause, le service en charge de la collecte des déchets assure régulièrement la collecte en porte-à-porte, notamment des ordures ménagères et assimilées (al. 1). Les jours et heures des collectes, ainsi que les directives de la ville sont communiquées dans une publication tous-ménages distribuée annuellement ; cette dernière est également disponible auprès du service en charge de la collecte des déchets et sur le site internet de la ville (al. 2).</w:t>
      </w:r>
    </w:p>
    <w:p>
      <w:r>
        <w:rPr>
          <w:b/>
        </w:rPr>
        <w:t>E. 14</w:t>
      </w:r>
    </w:p>
    <w:p>
      <w:r>
        <w:t>Selon l’art. 21 ancien règlement, il incombe aux propriétaires de rendre facilement accessibles les conteneurs et de les déposer sur la voie publique dès 05h00 du matin le jour de la collecte, mais au plus tard à 06h30 (al. 6). Immédiatement après la collecte, les conteneurs doivent être rangés dans l’immeuble ou aux emplacements prévus (al. 7). Quant à l’art. 23 al. 7 du nouveau règlement, il stipule que dans la mesure du possible, les conteneurs doivent être retirés de la voie publique et rangés à l’emplacement réservé à la collecte des déchets de l’immeuble immédiatement après la collecte ou au plus tard à midi.</w:t>
      </w:r>
    </w:p>
    <w:p>
      <w:r>
        <w:rPr>
          <w:b/>
        </w:rPr>
        <w:t>E. 15</w:t>
      </w:r>
    </w:p>
    <w:p>
      <w:r>
        <w:t>Selon les art. 43 al. 1 LGD (repris à l'art. 31 de l’ancien règlement, du règlement LC 21 911 et à l’art. 33 al. 1 du nouveau règlement), est passible d’une amende administrative de CHF 200.- à CHF 400'000.- tout contrevenant : a) à la LGD ; b) aux règlements et arrêtés édictés en vertu de la LGD ; c) aux ordres donnés par l’autorité compétente dans la limite de la LGD et des règlements et arrêtés édictés en vertu de celle-ci. Les amendes peuvent être infligées tant à des personnes morales qu'à des personnes physiques (art. 43 al. 2 LGD). Les contraventions sont constatées par les agents de la force publique et tous autres agents ayant mandat de veiller à l’observation de la loi (art. 44 al. 1 LGD). Les amendes sont infligées par l’autorité compétente sans préjudice de plus fortes peines en cas de crimes, délits ou contraventions prévus par la loi fédérale sur la protection de l’environnement et de tous dommages-intérêts éventuels (art. 44 al. 2 LGD).</w:t>
      </w:r>
    </w:p>
    <w:p>
      <w:r>
        <w:t>- 11/14 - A/2757/2023 Les agents de la police municipale sont notamment chargés de la prévention et de la répression en matière de propreté, notamment en ce qui concerne les détritus, les déjections canines, les tags et l’affichage sauvage (art. 5 al. 2 de la loi sur les agents de la police municipale, les contrôleurs municipaux du stationnement et les gardes auxiliaires des communes du 20 février 2009 - LAPM - F 1 07). Le Conseil d’État fixe, après consultation des communes, les prescriptions cantonales de police que les agents de la police municipale sont habilités à faire appliquer, par délégation de pouvoir de l'État, relevant notamment de la sécurité, la propreté et la salubrité publiques (art. 10 let. a ch. 1 LAPM). Le Conseil d'État a dans ce cadre prévu que les agents de la police municipale sont habilités à faire appliquer les dispositions de la LGD et du RGD (art. 8 let. l du règlement sur les agents de la police municipale du 28 octobre 2009 - RAPM - F 1 07.01).</w:t>
      </w:r>
    </w:p>
    <w:p>
      <w:r>
        <w:rPr>
          <w:b/>
        </w:rPr>
        <w:t>E. 16</w:t>
      </w:r>
    </w:p>
    <w:p>
      <w:r>
        <w:t>Les amendes administratives prévues par la législation cantonale sont de nature pénale, car aucun critère ne permet de les distinguer clairement des contraventions pour lesquelles la compétence administrative de première instance peut au demeurant aussi exister. La quotité de la sanction administrative doit ainsi être fixée en tenant compte des principes généraux régissant le droit pénal (ATA/174/2023 du 28 février 2023 consid. 2.1.3 et les arrêts cités). En vertu de l’art. 1 let. a de la loi pénale genevoise du 17 novembre 2006 (LPG – E 4 05), les dispositions de la partie générale du Code pénal suisse du 21 décembre 1937 (CP - RS 311.0) s’appliquent à titre de droit cantonal supplétif. On doit cependant réserver celles qui concernent exclusivement le juge pénal (ATA/440/2019 du 16 avril 2019 ; ATA/19/2018 du 9 janvier 2018). Il est ainsi nécessaire que le contrevenant ait commis une faute, fût-ce sous la forme d’une simple négligence. Selon la jurisprudence constante, l'administration doit faire preuve de sévérité afin d'assurer le respect de la loi et jouit d'un large pouvoir d'appréciation pour infliger une amende (ATA/403/2019 du 9 avril 2019 consid. 7c ; ATA/1277/2018 du 27 novembre 2018 consid. 6d). Le juge ne la censure qu'en cas d'excès (ATA/403/2019 précité ; ATA/1277/2018 précité). Enfin, l'amende doit respecter le principe de la proportionnalité garanti par l'art. 36 al. 3 de la Constitution fédérale de la Confédération suisse du 18 avril 1999 (Cst.- RS 101) (ATA/968/2020 précité ; ATA/440/2019 précité).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w:t>
      </w:r>
    </w:p>
    <w:p>
      <w:r>
        <w:t>- 12/14 - A/2757/2023 de sa situation personnelle et des circonstances extérieures (art. 47 al. 2 CP ; ATA/174/2023 précité consid. 2.1.5 et les arrêts cités).</w:t>
      </w:r>
    </w:p>
    <w:p>
      <w:r>
        <w:rPr>
          <w:b/>
        </w:rPr>
        <w:t>E. 17</w:t>
      </w:r>
    </w:p>
    <w:p>
      <w:r>
        <w:t>Le principe de la légalité exige que les autorités n'agissent que dans le cadre fixé par la loi. Il implique qu'un acte étatique se fonde sur une base légale matérielle qui est suffisamment précise et qui a été adoptée par l'organe compétent (ATF 141 II 169 consid. 3.1). L'exigence de la densité normative n'est pas absolue, car on ne saurait ordonner au législateur de renoncer totalement à recourir à des notions générales, comportant une part nécessaire d'interprétation. Cela tient à la nature générale et abstraite inhérente à toute règle de droit et à la nécessité qui en découle de laisser aux autorités d'application une certaine marge de manœuvre lors de la concrétisation de la norme. Pour déterminer quel degré de précision on est en droit d'exiger de la loi, il faut tenir compte du cercle de ses destinataires et de la gravité des atteintes qu'elle autorise aux droits fondamentaux (ATF 140 I 381 consid. 4.4 et les références citées).</w:t>
      </w:r>
    </w:p>
    <w:p>
      <w:r>
        <w:rPr>
          <w:b/>
        </w:rPr>
        <w:t>E. 18</w:t>
      </w:r>
    </w:p>
    <w:p>
      <w:r>
        <w:t>À cet égard, dans l’arrêt ATA/1029/2023 du 19 septembre 2023, la chambre administrative de la Cour de justice, examinant le recours interjeté contre une amende administrative de CHF 200.- infligée en 2022 pour « conteneur-s non rentré-s après la collecte », infraction constatée à 17h25 à l’adresse du domicile du recourant, a jugé que les art. 12 al. 4, 43 al. 1 let. b et 44 al. 1 LGD, 5 al. 2 et 10 let. a ch. 1 LAPM en lien avec les art. 17 al. 1 et 2 RGD et 21 al. 7 ancien règlement (repris dans des termes similaires à l’art. 23 al. 7 du règlement LC 21 911) fournissaient des bases légales suffisantes pour infliger une amende administrative (consid. 2.9).</w:t>
      </w:r>
    </w:p>
    <w:p>
      <w:r>
        <w:rPr>
          <w:b/>
        </w:rPr>
        <w:t>E. 19</w:t>
      </w:r>
    </w:p>
    <w:p>
      <w:r>
        <w:t>En l’espèce, selon le constat d’infraction établi le 1er septembre 2022 le conteneur n’avait toujours pas été rentré à 17h11, fait que la recourante a d’ailleurs reconnu le jour même. Sous l’angle de la légalité de la mesure, il ressort de la jurisprudence précitée que les dispositions mentionnées dans l’amende litigieuse constituent des bases légales suffisantes pour infliger cette sanction, étant précisé que, quand bien même le règlement communal a changé, la nouvelle disposition pertinente n’est pas plus favorable à la recourante et ne constitue dès lors pas une lex mitior. Dans la mesure où, par son comportement, la recourante a enfreint les dispositions légales précitées, c’est à bon droit que l’amende lui a été adressée. À charge pour elle de se retourner contre le propriétaire de l’immeuble, pour en obtenir le remboursement, si elle estime qu’il ne lui incombait pas de retirer le conteneur de la voie publique. Cette question relève toutefois du droit privé. L’amende est ainsi fondée dans son principe. Quant à sa quotité, elle a été fixée à CHF 200.-, soit le minimum légal prévu par l’art. 43 al. 1 LGD, de sorte qu’elle respecte le principe de la proportionnalité. Pour le surplus, si la recourante a certes relevé que le montant de l’amende, dont elle s’est déjà acquittée, correspondait au quart du salaire mensuel qu’elle percevait pour son activité de concierge, elle n’a ni allégué ni démontré qu’il s’agirait de sa seule source de revenu. Elle n’a pas non</w:t>
      </w:r>
    </w:p>
    <w:p>
      <w:r>
        <w:t>- 13/14 - A/2757/2023 plus fait état de difficultés pécuniaires particulières, étant relevé qu’il lui aurait été loisible de demander un arrangement de paiement à la ville.</w:t>
      </w:r>
    </w:p>
    <w:p>
      <w:r>
        <w:rPr>
          <w:b/>
        </w:rPr>
        <w:t>E. 20</w:t>
      </w:r>
    </w:p>
    <w:p>
      <w:r>
        <w:t>Au vu de ce qui précède, l’amende sera confirmée, tant dans son principe que sa quotité, et le recours sera rejeté.</w:t>
      </w:r>
    </w:p>
    <w:p>
      <w:r>
        <w:rPr>
          <w:b/>
        </w:rPr>
        <w:t>E. 21</w:t>
      </w:r>
    </w:p>
    <w:p>
      <w:r>
        <w:t>En application des art. 87 al. 1 LPA et 1 et 2 du règlement sur les frais, émoluments et indemnités en procédure administrative du 30 juillet 1986 (RFPA - E 5 10.03), la recourante, qui succombe, est condamnée au paiement d’un émolument s'élevant à CHF 250.- ; il est couvert par l’avance de frais versée à la suite du dépôt du recours. Vu l’issue du litige, aucune indemnité de procédure ne sera allouée (art. 87 al. 2 LPA).</w:t>
      </w:r>
    </w:p>
    <w:p>
      <w:r>
        <w:t>- 14/14 - A/2757/2023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