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JTAPI/240/2023 vom 30. September 2019</w:t>
      </w:r>
    </w:p>
    <w:p>
      <w:r>
        <w:t>GE Cour de justice, 2019-09-30, FR</w:t>
      </w:r>
    </w:p>
    <w:p>
      <w:r>
        <w:rPr>
          <w:b/>
        </w:rPr>
        <w:t xml:space="preserve">Quelle: </w:t>
      </w:r>
      <w:r>
        <w:t>https://mcp.opencaselaw.ch/entscheid/ge_gerichte_JTAPI_240_2023</w:t>
      </w:r>
    </w:p>
    <w:p>
      <w:r>
        <w:t>FR: GE_GERICHTE JTAPI/240/2023 du 30 septembre 2019</w:t>
      </w:r>
    </w:p>
    <w:p>
      <w:r>
        <w:t>IT: GE_GERICHTE JTAPI/240/2023 del 30 settembre 2019</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w:t>
      </w:r>
    </w:p>
    <w:p>
      <w:r>
        <w:t>- 8/14 - A/3551/2022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5</w:t>
      </w:r>
    </w:p>
    <w:p>
      <w:r>
        <w:t>Saisi d'un recours, le tribunal applique le droit d'office.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6</w:t>
      </w:r>
    </w:p>
    <w:p>
      <w:r>
        <w:t>Le recourant se plaint d’une violation de son droit d’être entendu au motif que la Dre B______ avait envoyé son rapport, sans y joindre les résultats détaillés. Par conséquent, il n’avait pas pu se prononcer sur ces derniers, étant relevé que les résultats des analyses réalisées variaient fortement sur une période relativement courte de quelques mois, sans que les spécialistes mandatés par l’autorité ne l’expliquent.</w:t>
      </w:r>
    </w:p>
    <w:p>
      <w:r>
        <w:rPr>
          <w:b/>
        </w:rPr>
        <w:t>E. 7</w:t>
      </w:r>
    </w:p>
    <w:p>
      <w:r>
        <w:t>Le droit d’être entendu, garanti par l’art. 29 al. 2 de la Constitution fédérale de la Confédération suisse du 18 avril 1999 (Cst. - RS 101),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w:t>
      </w:r>
    </w:p>
    <w:p>
      <w:r>
        <w:rPr>
          <w:b/>
        </w:rPr>
        <w:t>E. 8</w:t>
      </w:r>
    </w:p>
    <w:p>
      <w:r>
        <w:t>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w:t>
      </w:r>
    </w:p>
    <w:p>
      <w:r>
        <w:t>- 9/14 - A/3551/2022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w:t>
      </w:r>
    </w:p>
    <w:p>
      <w:r>
        <w:rPr>
          <w:b/>
        </w:rPr>
        <w:t>E. 9</w:t>
      </w:r>
    </w:p>
    <w:p>
      <w:r>
        <w:t>août 2022 consid. 2b ; ATA/447/2021 du 27 avril 2021 consid. 6c et les références citées).</w:t>
      </w:r>
    </w:p>
    <w:p>
      <w:r>
        <w:rPr>
          <w:b/>
        </w:rPr>
        <w:t>E. 10</w:t>
      </w:r>
    </w:p>
    <w:p>
      <w:r>
        <w:t>En l’espèce, la décision querellée mentionne les bases légales applicables (art. 16d LCR) et les faits pertinents sur lesquels elle se fonde. Avant le prononcé de celle- ci, le recourant a par ailleurs eu l’occasion de se déterminer sur les constats faits par les Dres C______ et B______, et en particulier sur le courrier du 1er juillet 2022 de cette dernière praticienne le déclarant inapte à la conduite au motif que le résultat du prélèvement capillaire réalisé le 8 juin 2022 était très fortement pathologique et dénotait la reprise d’une consommation excessive et chronique d’alcool au cours des deux à trois mois ayant précédé ce prélèvement. Dans ses observations du 29 août 2022, le recourant, assisté d’un conseil, a d’ailleurs reconnu, à tout le moins, un épisode de rechute avant juin 2022. En outre, la lecture des écritures du recourant, assisté d’un nouveau conseil, permet de retenir que celui-ci a compris les tenants et aboutissants de la décision qu’il a contesté en toute connaissance de cause. Les résultats détaillés sur lesquels la Dre B______ a fondé son rapport sont dans le dossier de l’OCV, ce dont le recourant a été informé le 27 janvier 2023. Son conseil a enfin consulté le dossier le 8 février 2023. Dans ces circonstances, il y a lieu de considérer que la décision litigieuse ne souffre pas d’un défaut de motivation et que le droit d’être entendu du recourant,</w:t>
      </w:r>
    </w:p>
    <w:p>
      <w:r>
        <w:t>- 10/14 - A/3551/2022 lequel aurait d’ailleurs été, en tout état, réparé devant le tribunal de céans, n’a pas été violé.</w:t>
      </w:r>
    </w:p>
    <w:p>
      <w:r>
        <w:rPr>
          <w:b/>
        </w:rPr>
        <w:t>E. 11</w:t>
      </w:r>
    </w:p>
    <w:p>
      <w:r>
        <w:t>Le recourant conclut à l’annulation de la décision querellée et au renvoi de la cause à l’OCV, pour examens complémentaires, au motif que celle-ci se fonde sur des analyses toxicologiques dont les résultats varient très fortement des dernières analyses réalisées et ce sur une période relativement courte de quelques mois, sans qu’aucune démarche n’ait été entreprise par les spécialistes mandatés par l'autorité pour expliquer ces fortes variations. Les résultats du 20 octobre 2022, démontraient que ses déclarations du 27 janvier 2022 étaient exactes.</w:t>
      </w:r>
    </w:p>
    <w:p>
      <w:r>
        <w:rPr>
          <w:b/>
        </w:rPr>
        <w:t>E. 12</w:t>
      </w:r>
    </w:p>
    <w:p>
      <w:r>
        <w:t>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w:t>
      </w:r>
    </w:p>
    <w:p>
      <w:r>
        <w:rPr>
          <w:b/>
        </w:rPr>
        <w:t>E. 13</w:t>
      </w:r>
    </w:p>
    <w:p>
      <w:r>
        <w:t>Le permis de conduire est retiré lorsque l'autorité constate que les conditions légales de sa délivrance, énoncées par la disposition précitée, ne sont pas ou ne sont plus remplies (art. 16 al. 1 1ère phr. LCR).</w:t>
      </w:r>
    </w:p>
    <w:p>
      <w:r>
        <w:rPr>
          <w:b/>
        </w:rPr>
        <w:t>E. 14</w:t>
      </w:r>
    </w:p>
    <w:p>
      <w:r>
        <w:t>Il y a également lieu à retrait du permis de conduire, pour une durée indéterminée, lorsque la personne en cause, en raison de son comportement antérieur, ne peut garantir qu'à l'avenir elle observera les prescriptions et fera preuve d'égards envers autrui en conduisant un véhicule automobile (art. 16d al. 1 let. c LCR).</w:t>
      </w:r>
    </w:p>
    <w:p>
      <w:r>
        <w:rPr>
          <w:b/>
        </w:rPr>
        <w:t>E. 15</w:t>
      </w:r>
    </w:p>
    <w:p>
      <w:r>
        <w:t>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t>- 11/14 - A/3551/2022</w:t>
      </w:r>
    </w:p>
    <w:p>
      <w:r>
        <w:rPr>
          <w:b/>
        </w:rPr>
        <w:t>E. 16</w:t>
      </w:r>
    </w:p>
    <w:p>
      <w:r>
        <w:t>La décision de retrait de sécurité du permis de conduire constitue une atteinte grave à la sphère privée de l'intéressé ; elle doit donc reposer sur une instruction précise des circonstances déterminantes (ATF 139 II 95 consid. 3.4.1 ; 133 II 284 consid. 3.1 ; arrêts du Tribunal fédéral 1C_593/2012 du 28 mars 2013 consid. 3.1 ; 6A.33/2001 et 35/2001 du 30 mai 2001 consid. 3a ; cf. en ce qui concerne le retrait justifié par des raisons médicales ou l'existence d'une dépendance : ATF 129 II 82 consid. 2.2), le pronostic devant être posé sur la base des antécédents du conducteur et de sa situation personnelle (ATF 139 II 95 consid. 3.4.1 ; 125 II 492 consid. 2a).</w:t>
      </w:r>
    </w:p>
    <w:p>
      <w:r>
        <w:rPr>
          <w:b/>
        </w:rPr>
        <w:t>E. 17</w:t>
      </w:r>
    </w:p>
    <w:p>
      <w:r>
        <w:t>En cas de doute, il y a lieu d'ordonner un examen médical, notamment un examen psychologique ou psychiatrique (art. 11b al. 1 let. a OAC ; ATF 139 II 95 consid. 3.4.1 ; arrêt du Tribunal fédéral 1C_593/2012 du 28 mars 2013 consid. 3.1). Selon la jurisprudence, un tel doute peut reposer sur de simples indices (arrêts du Tribunal fédéral 1C_593/2012 du 28 mars 2013 consid. 3.1).</w:t>
      </w:r>
    </w:p>
    <w:p>
      <w:r>
        <w:rPr>
          <w:b/>
        </w:rPr>
        <w:t>E. 18</w:t>
      </w:r>
    </w:p>
    <w:p>
      <w:r>
        <w:t>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6A.33/2001 et 35/2001 du 30 mai 2001 consid. 3a).</w:t>
      </w:r>
    </w:p>
    <w:p>
      <w:r>
        <w:rPr>
          <w:b/>
        </w:rPr>
        <w:t>E. 19</w:t>
      </w:r>
    </w:p>
    <w:p>
      <w:r>
        <w:t>Le rôle du médecin, en particulier du médecin-expert, est de décrire l'état clinique d'un intéressé et en aucune manière celle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ce fut le cas en l'espèce, demande au médecin de se prononcer également sur l'aptitude à conduire d'un conducteur. Il reste qu'il appartient fondamentalement à l'autorité administrative, respectivement au juge, d'apprécier les éléments médicaux du rapport du médecin, puis de répondre à la question - de droit - de savoir si l'aptitude d'une personne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w:t>
      </w:r>
    </w:p>
    <w:p>
      <w:r>
        <w:t>- 12/14 - A/3551/2022 ATF 133 II 384 consid. 4.2.3 ; 118 Ia 144 consid. 1c ; arrêt du Tribunal fédéral 1C_359/2008 du 23 février 2009 consid. 2.2).</w:t>
      </w:r>
    </w:p>
    <w:p>
      <w:r>
        <w:rPr>
          <w:b/>
        </w:rPr>
        <w:t>E. 20</w:t>
      </w:r>
    </w:p>
    <w:p>
      <w:r>
        <w:t>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consid. 1c et les références citées ; arrêt du Tribunal fédéral 1C_359/2008 du</w:t>
      </w:r>
    </w:p>
    <w:p>
      <w:r>
        <w:rPr>
          <w:b/>
        </w:rPr>
        <w:t>E. 23</w:t>
      </w:r>
    </w:p>
    <w:p>
      <w:r>
        <w:t>février 2009 consid. 2.2). 21. Selon l'art. 17 al. 3 LCR, le permis de conduire retiré pour une durée indéterminée peut être restitué à certaines conditions après expiration d'un éventuel délai d'attente légal ou prescrit si la personne concernée peut prouver que son inaptitude à la conduite a disparu. Si la personne concernée n’observe pas les conditions imposées ou trompe d’une autre manière la confiance mise en elle, le permis lui est retiré à nouveau (art. 17 al. 5 LCR). 22. En l'espèce, l'OCV, qui a suivi la procédure prévue par la loi et la jurisprudence rappelée ci-dessus avant de rendre sa décision, a fondé celle-ci sur les conclusions du courrier de la Dre B______ du 1er juillet 2022, le déclarant inapte à la conduite de véhicule à moteur sur la base des résultats du prélèvement capillaire effectué le 8 juin 2022, très fortement pathologique (EtG dosé à 82 pg/mg) et dénotant la reprise d'une consommation excessive et chronique d'alcool au cours des deux à trois mois ayant précédé ce prélèvement. Ainsi, sur la base de ce résultat, les conditions requises au terme de l'expertise d'aptitude à la conduite automobile du</w:t>
      </w:r>
    </w:p>
    <w:p>
      <w:r>
        <w:rPr>
          <w:b/>
        </w:rPr>
        <w:t>E. 28</w:t>
      </w:r>
    </w:p>
    <w:p>
      <w:r>
        <w:t>septembre 2021 n'étaient manifestement pas respectées et le préavis favorable qui y était formulé ne pouvait être confirmé actuellement. Pour rappel, au terme de l’expertise du 28 septembre 2021 précitée, le recourant devait démontrer, durant toute la période de suivi, n’avoir eu aucun manquement significatif aux rendez-vous prévus, aucune reprise anamnestique d'une consommation problématique d'alcool et aucun résultat d'analyse capillaire alarmant, son alcoologue pouvant, dans le cas contraire, remettre en question les conclusions de son expertise, ce qu’elle a précisément fait, par l’intermédiaire de la Dre B______, le 17 décembre 2021, puis le 1er juillet 2022. Dès lors, le recourant, qui savait qu'il devait strictement se soumettre aux conditions posées par l’expert, et en particulier s’abstenir de toute consommation problématique d’alcool, s'il voulait que ce dernier maintienne ses conclusions d'aptitude à la conduite et que, à défaut, ledit expert pourrait conclure à son</w:t>
      </w:r>
    </w:p>
    <w:p>
      <w:r>
        <w:t>- 13/14 - A/3551/2022 inaptitude, ne fait que substituer sa propre appréciation à celle de l'expert et de l'autorité intimée s'agissant des conséquences qu’il faudrait tirer des résultats des analyses effectuées. La présence de résultats variant très fortement sur une période de quelques mois s’explique au demeurant facilement et est parfaitement compatible avec la reprise d'une consommation excessive et chronique d'alcool suivie d’une période d’abstinence stricte, qui correspond au mode de consommation du recourant, comme il l’admet lui-même, notamment dans ses écritures du 29 août 2022. Il ressort au surplus des expertises des 20 octobre et 8 novembre 2022 portant sur l’analyse des prélèvements des 3 octobre et 1er novembre 2022, que les résultats indiquant qu’il n’y avait pas d’alcool dans le sang étaient compatibles avec une absence de consommation d’éthanol « pendant les 2 à 3 semaines qui avaient précédé le prélèvement », et non depuis le 27 janvier 2022, comme voudrait le faire croire le conseil du recourant. Dans ces conditions, il n’y avait pas lieu d’instruire plus avant les fortes variations des résultats d’analyses et la Dre B______ puis l’OCV pouvaient à juste titre tenir compte des résultats du prélèvement capillaire effectué le 8 juin 2022, dont le recourant ne démontre au demeurant pas qu’ils seraient entachés d’erreur, pour fonder leurs décisions. Dans ces circonstances, en retirant le permis de conduire du recourant suite au courrier de la Dre B______ du 1er juillet 2022, l'OCV n'a pas abusé de son pouvoir d'appréciation ni violé la loi, les conditions requises au terme de l'expertise d'aptitude à la conduite automobile du 28 septembre 2021 n'étant manifestement pas respectées et le préavis favorable qui y était formulé n’étant plus confirmé par l’expert. Le fait que son permis de conduire lui soit indispensable pour exercer son droit de visite sur ses enfants et dans le cadre professionnel et que les résultats des derniers prélèvements effectués indiquent qu’il n’y avait pas d’alcool dans le sang et que le résultat était compatible avec une absence de consommation d’éthanol pendant les 2 à 3 semaines qui avaient précédé le prélèvement, n’y changent rien, n’ayant, en particulier, aucune incidence sur le fait que le recourant n’a pas respecté les conditions posées par l’expert pour confirmer son aptitude à la conduite des véhicules à moteur. 23. Mal fondé, le recours sera rejeté. 24. En application des art. 87 al. 1 LPA et 1 et 2 du règlement sur les frais, émoluments et indemnités en procédure administrative du 30 juillet 1986 (RFPA - E 5 10.03), le recourant succombe, est condamné au paiement d'un émolument s'élevant à CHF 500.- ; il est couvert par l'avance de frais versée à la suite du dépôt du recours. 25. Vu l'issue du litige, aucune indemnité de procédure ne sera allouée (art. 87 al. 2 LPA).</w:t>
      </w:r>
    </w:p>
    <w:p>
      <w:r>
        <w:t>- 14/14 - A/3551/2022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