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JTAPI/239/2024 vom 5. Dezember 2022</w:t>
      </w:r>
    </w:p>
    <w:p>
      <w:r>
        <w:t>GE Cour de justice, 2022-12-05, FR</w:t>
      </w:r>
    </w:p>
    <w:p>
      <w:r>
        <w:rPr>
          <w:b/>
        </w:rPr>
        <w:t xml:space="preserve">Quelle: </w:t>
      </w:r>
      <w:r>
        <w:t>https://mcp.opencaselaw.ch/entscheid/ge_gerichte_JTAPI_239_2024</w:t>
      </w:r>
    </w:p>
    <w:p>
      <w:r>
        <w:t>FR: GE_GERICHTE JTAPI/239/2024 du 5 décembre 2022</w:t>
      </w:r>
    </w:p>
    <w:p>
      <w:r>
        <w:t>IT: GE_GERICHTE JTAPI/239/2024 del 5 dicembre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13 mars 2024 à 17h40.</w:t>
      </w:r>
    </w:p>
    <w:p>
      <w:r>
        <w:rPr>
          <w:b/>
        </w:rPr>
        <w:t>E. 3</w:t>
      </w:r>
    </w:p>
    <w:p>
      <w:r>
        <w:t>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w:t>
      </w:r>
    </w:p>
    <w:p>
      <w:r>
        <w:t>- 6/10 - A/887/2024 de collaborer (ch. 3) ou si son comportement permet de conclure qu'elle se refuse à obtempérer aux instructions des autorités (ch. 4).</w:t>
      </w:r>
    </w:p>
    <w:p>
      <w:r>
        <w:rPr>
          <w:b/>
        </w:rPr>
        <w:t>E. 3.1</w:t>
      </w:r>
    </w:p>
    <w:p>
      <w:r>
        <w:t>; 2C_756/2009 du 15 décembre 2009 consid. 2.1).</w:t>
      </w:r>
    </w:p>
    <w:p>
      <w:r>
        <w:rPr>
          <w:b/>
        </w:rPr>
        <w:t>E. 4</w:t>
      </w:r>
    </w:p>
    <w:p>
      <w:r>
        <w:t>Ces deux dispositions décrivent toutes deux des comportements permettant de conclure à l’existence d’un risque de fuite ou de disparition, de sorte que les deux éléments doivent être envisagés ensemble (arrêt du Tribunal fédéral 2C_128/2009 du 30 mars 2009 consid. 3.1).</w:t>
      </w:r>
    </w:p>
    <w:p>
      <w:r>
        <w:rPr>
          <w:b/>
        </w:rPr>
        <w:t>E. 4.2</w:t>
      </w:r>
    </w:p>
    <w:p>
      <w:r>
        <w:t>;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 des autorités plaide en défaveur du risque de fuite</w:t>
      </w:r>
    </w:p>
    <w:p>
      <w:r>
        <w:t>- 7/10 - A/887/2024 (arrêt du Tribunal fédéral 2C_478/2012 du 14 juin 2012 consid. 2.2 et les références citées).</w:t>
      </w:r>
    </w:p>
    <w:p>
      <w:r>
        <w:rPr>
          <w:b/>
        </w:rPr>
        <w:t>E. 5</w:t>
      </w:r>
    </w:p>
    <w:p>
      <w:r>
        <w:t>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w:t>
      </w:r>
    </w:p>
    <w:p>
      <w:r>
        <w:rPr>
          <w:b/>
        </w:rPr>
        <w:t>E. 6</w:t>
      </w:r>
    </w:p>
    <w:p>
      <w:r>
        <w:t>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rPr>
          <w:b/>
        </w:rPr>
        <w:t>E. 7</w:t>
      </w:r>
    </w:p>
    <w:p>
      <w:r>
        <w:t>Comme le prévoit expressément l'art. 76 al. 1 let. b ch. 3 LEI, il faut qu'il existe des éléments concrets en ce sens (ATF 140 II 1 consid. 5.3 ; arrêts du Tribunal fédéral 2C_256/2013 du 10 avril 2013 consid. 4.2 ; 2C_142/2013 du 1er mars 2013 consid.</w:t>
      </w:r>
    </w:p>
    <w:p>
      <w:r>
        <w:rPr>
          <w:b/>
        </w:rPr>
        <w:t>E. 8</w:t>
      </w:r>
    </w:p>
    <w:p>
      <w:r>
        <w:t>En l'espèce, s'il est vrai, comme l'a souligné son conseil que M. A______ n'a pas tenté de fuir ou de disparaître durant son séjour en Suisse et qu'il a pu être trouvé facilement par la police la veille du vol prévu pour lui le 12 mars 2024, il a néanmoins manifesté par des actes sa volonté de se soustraire coûte que coûte à son renvoi, en refusant précisément d'embarquer à bord du vol du 12 mars 2024 qui devait le ramener dans son pays d'origine. Par ailleurs, il fait l'objet d'un renvoi de Suisse prise par le SEM le 21 avril 2023. Par conséquent, les conditions légales de sa détention sont réalisées. C'est le lieu de préciser que le tribunal n'est habilité à réexaminer l'exécutabilité du renvoi que dans des cas tout à fait exceptionnels (Grégor CHATTON/Laurent MERZ, Code annoté des droits des migrations, vol. II ad art. 80 LEtr, p. 882), notamment lorsque les circonstances permettent clairement au juge de la détention de conclure à une impossibilité juridique ou matérielle, notamment pour des raisons humanitaires. Dans le cas d'espèce, même si l'on tient compte de la réalité des blessures subies par M. A______, apparemment par un ou des coups de couteau, il n'est pas possible à teneur de ses explications et du dossier de retenir qu'il est effectivement soumis à risque de mort pratiquement certain en cas de retour au Maroc. Tout d'abord, il faut observer que les explications qu'il a données sur l'origine de ce risque à l'audience de ce jour sont complètement différentes de celles qu'il avait données dans le cadre de sa requête d'asile, ce qui remet en cause la vraisemblance de chacune des deux versions. Mais en outre, même si l'on retenait la crédibilité des explications qu'il a données devant le tribunal, on ne voit pas pourquoi, à priori, son retour dans son pays entrainerait nécessairement un risque de mort en raison de rivalité entre supporters d'équipes de football. M. A______, qui a pu s'expatrier et tenter de s'insérer dans un pays dont il ignorait tout pourrait à fortiori, si cela s'avérait absolument nécessaire, s'installer au Maroc dans une autre ville que B______ (Maroc), ou en tout cas, s'éloigner des personnes qui feraient éventuellement encore peser une menace sur lui. Au vu de ce qui précède, il n'est pas possible de retenir de manière suffisamment vraisemblable l'existence d'un motif d'inexécutabilité du renvoi.</w:t>
      </w:r>
    </w:p>
    <w:p>
      <w:r>
        <w:rPr>
          <w:b/>
        </w:rPr>
        <w:t>E. 9</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10</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w:t>
      </w:r>
    </w:p>
    <w:p>
      <w:r>
        <w:t>- 8/10 - A/887/2024 personne concernée et le résultat escompté du point de vue de l'intérêt public (ATF 125 I 474 consid. 3 et les arrêts cités ; arrêt du Tribunal fédéral 1P.269/2001 du 7 juin 2001 consid. 2c ; ATA/752/2012 du 1er novembre 2012 consid. 7).</w:t>
      </w:r>
    </w:p>
    <w:p>
      <w:r>
        <w:rPr>
          <w:b/>
        </w:rPr>
        <w:t>E. 11</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12</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13</w:t>
      </w:r>
    </w:p>
    <w:p>
      <w:r>
        <w:t>En l'espèce, la question se pose tout d'abord de savoir si la détention administrative de M. A______ est la seule mesure apte à assurer l'exécution de son renvoi ou si une mesure moins incisive y parviendrait également. A cet égard, M. A______ a conclu, subsidiairement à la levée pure et simple de sa détention, à ce qu'une assignation à un lieu de résidence au sens de l'art. 74 LEI soit prononcée, cas échéant, accompagné d'une obligation de se présenter régulièrement à une autorité. A nouveau, il insiste sur le fait que durant son séjour en Suisse, il n'a jamais tenté de fuir ou de disparaître et que la police a facilement pu le trouver la veille du vol du 12 mars 2024. Cela étant, il s'agit de tenir compte de deux facteurs défavorables. D'une part, si M. A______ n'a pas cherché à disparaître ou à fuir durant son séjour en Suisse depuis novembre 2022, c'est certainement en raison du fait qu'il espérait pouvoir y séjourner, cas échéant même sans être au bénéfice du statut de requérant d'asile. Or, ces circonstances ont aujourd'hui complètement changé, puisque les autorités ont activement commencé à faire en sorte que son renvoi puisse être exécuté, ce dont il a reçu un signal très clair avec la réservation du vol du 12 mars 2024 et l'information selon laquelle un prochain vol aura lieu le 19 mars 2024. Par conséquent, M. A______ a vraisemblablement, désormais, une conscience très claire du fait que son séjour en Suisse arrive à son terme, ce qui ne peut que l'amener à chercher à disparaître dans la clandestinité, cas échéant, en se rendant illégalement, dans un autre pays d'Europe. Par ailleurs, il faut observer que M. A______ n'a manifestement en Suisse aucune attache, qu'elle soit familiale, sociale ou professionnelle. Cette situation rend la possibilité qu'il ne quitte la Suisse d'autant plus importante. Au vu de ces différents éléments, il apparaît qu'une assignation à un lieu de résidence, même assortie d'une obligation de se présenter à une autorité, ne l'empêcherait vraisemblablement pas de se soustraire à son renvoi.</w:t>
      </w:r>
    </w:p>
    <w:p>
      <w:r>
        <w:t>- 9/10 - A/887/2024 Par ailleurs, les autorités compétentes ont entrepris avec rapidité les démarches utiles à l'exécution de son renvoi et ont donc respecté leur devoir de diligence. Enfin, quant à la durée de détention prononcée par le commissaire de police, elle n'apparaît pas à priori excessive, compte tenu des explications données à l'audience par sa représentante. En effet, si M. A______ se refuse à nouveau à prendre le vol prévu le 19 mars 2024, en démontrant de la sorte avec encore plus de clarté son refus de retourner dans son pays, les autorités devront alors à nouveau tenter d'organiser un vol avec escorte policière, ce qui entrainera l'écoulement de quelques semaines supplémentaires. Il n'y a pas lieu en l'occurrence de contraindre d'emblée les autorités à devoir déposer une demande de prolongation de détention pour pouvoir effectuer ces démarches.</w:t>
      </w:r>
    </w:p>
    <w:p>
      <w:r>
        <w:rPr>
          <w:b/>
        </w:rPr>
        <w:t>E. 14</w:t>
      </w:r>
    </w:p>
    <w:p>
      <w:r>
        <w:t>Au vu de ce qui précède, il y a lieu de confirmer l'ordre de mise en détention administrative de M. A______ pour une durée de huit semaines.</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A/887/2024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