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JTAPI/238/2023 vom 26. August 2022</w:t>
      </w:r>
    </w:p>
    <w:p>
      <w:r>
        <w:t>GE Cour de justice, 2022-08-26, FR</w:t>
      </w:r>
    </w:p>
    <w:p>
      <w:r>
        <w:rPr>
          <w:b/>
        </w:rPr>
        <w:t xml:space="preserve">Quelle: </w:t>
      </w:r>
      <w:r>
        <w:t>https://mcp.opencaselaw.ch/entscheid/ge_gerichte_JTAPI_238_2023</w:t>
      </w:r>
    </w:p>
    <w:p>
      <w:r>
        <w:t>FR: GE_GERICHTE JTAPI/238/2023 du 26 août 2022</w:t>
      </w:r>
    </w:p>
    <w:p>
      <w:r>
        <w:t>IT: GE_GERICHTE JTAPI/238/2023 del 26 agosto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d'abord son audition par le tribunal, ainsi que celle de son père, de sa sœur et de son employeur.</w:t>
      </w:r>
    </w:p>
    <w:p>
      <w:r>
        <w:rPr>
          <w:b/>
        </w:rPr>
        <w:t>E. 4</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w:t>
      </w:r>
    </w:p>
    <w:p>
      <w:r>
        <w:t>- 7/13 - A/3150/2022 L'instruction orale de la cause, en dérogation au principe de la procédure écrite institué par l'art. 18 LPA, nécessite en tout état que la requête tendant à ce que le tribunal ordonne une telle mesure soit motivée et permette de comprendre clairement en quoi l'audition d'une partie ou d'un témoin serait susceptible d'apporter des éléments que la procédure écrite ne serait pas apte à fournir (arrêt du Tribunal fédéral 1C_160/2017 du 3 octobre 2017 consid. 4 ; ATF 1C_122/2016 du 7 septembre 2016 ; 2C_265/2016 du 23 mai 2016 consid. 5.2).</w:t>
      </w:r>
    </w:p>
    <w:p>
      <w:r>
        <w:rPr>
          <w:b/>
        </w:rPr>
        <w:t>E. 5</w:t>
      </w:r>
    </w:p>
    <w:p>
      <w:r>
        <w:t>En l'occurrence, le recourant semble avant tout souhaiter sa propre audition, ainsi que celle de son père, de sa sœur et de son employeur, afin de confirmer différents éléments qu'il a allégués par écrit et qui tiennent principalement, d'une part, à l'attachement qu'il a avec sa famille d'origine et, d'autre part, à la qualité de son travail et de son intégration professionnelle. Or, ainsi que cela résulte des considérants qui suivent, il n'y a pas lieu de remettre en question la réalité de ces éléments. C'est uniquement sur la manière d'en apprécier la portée sur le plan juridique que se joue l'issue de la procédure. Or, l'audition des personnes concernées n'a à cet égard aucune influence. Par conséquent, il ne se justifie pas de procéder à ces auditions.</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7</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w:t>
      </w:r>
    </w:p>
    <w:p>
      <w:r>
        <w:t>- 8/13 - A/3150/2022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t>- 9/13 - A/3150/2022</w:t>
      </w:r>
    </w:p>
    <w:p>
      <w:r>
        <w:rPr>
          <w:b/>
        </w:rPr>
        <w:t>E. 8</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En l'espèce, s'agissant tout d'abord de la durée du séjour en Suisse du recourant, il est constant qu'elle a commencé le 26 novembre 2014, c'est-à-dire il y a un peu plus de huit ans, alors qu'il était âgé de 19 ans. Certes, il ne s'agit plus d'une durée particulièrement courte, mais pas encore non plus d'une durée suffisante pour considérer qu'à elle seule, elle impliquerait une véritable intégration en Suisse et qu'un renvoi constituerait de facto un véritable déracinement. Certes, comme jeune adulte actuellement âgé de 28 ans, il a certainement commencé à s'insérer dans le tissu culturel et social genevois, mais, comme l'a relevé à juste titre</w:t>
      </w:r>
    </w:p>
    <w:p>
      <w:r>
        <w:t>- 11/13 - A/3150/2022 l'autorité intimée, il a tout de même passé la plus grande partie de son existence, et notamment les années décisives de l'enfance et de l'adolescence, dans son pays d'origine, dans lequel il a nécessairement gardé suffisamment de racines pour qu'un renvoi de Suisse ne signifie pas une perte complète de repères.</w:t>
      </w:r>
    </w:p>
    <w:p>
      <w:r>
        <w:rPr>
          <w:b/>
        </w:rPr>
        <w:t>E. 12</w:t>
      </w:r>
    </w:p>
    <w:p>
      <w:r>
        <w:t>S'agissant de son intégration sociale, les explications du recourant ne font apparaître aucun élément particulier, au-delà des liens affectifs qu'il a avec ses parents et sa sœur installés à Genève, ce qui est très loin de correspondre aux critères définis par la jurisprudence en la matière. Certes, le recourant dispose désormais d'un niveau de français suffisant, n'a jamais dépendu de l'assistance publique et ne fait l'objet d'aucune poursuite, ce qui constitue autant d'éléments positifs. En revanche, il a fait l'objet de deux condamnations pénales. La première, contrairement à l'appréciation de l'autorité intimée qui insiste pour faire de la conduite d'une trottinette sans permis ad hoc une infraction menaçant l'ordre et la sécurité publique, peut être considérée comme relativement anodine. En revanche, la seconde, qui correspond à l'ordonnance pénale du 5 décembre 2022, est sensiblement plus préoccupante, à un double titre. Non seulement elle concerne une exportation d'armes, ce qui constitue une menace nettement plus grave pour la sécurité et l'ordre public que la conduite illicite d'une trottinette, mais encore, l'infraction en cause a été commise en mai 2022, alors que par courrier du 23 février 2022, suite à la première ordonnance de condamnation, l'autorité intimée avait informé le recourant de son intention de prononcer son renvoi de Suisse, ainsi qu'une interdiction d'entrée. Le recourant était alors âgé de plus de 27 ans, ce qui permet également d'exclure l'acte irréfléchi d'un très jeune adulte, et il ne pouvait pas ne pas se rendre compte de la portée de son acte et des risques que cela pouvait comporter pour sa demande de régularisation déposée à peine un mois plus tôt.</w:t>
      </w:r>
    </w:p>
    <w:p>
      <w:r>
        <w:rPr>
          <w:b/>
        </w:rPr>
        <w:t>E. 13</w:t>
      </w:r>
    </w:p>
    <w:p>
      <w:r>
        <w:t>Quant à son intégration professionnelle, elle est certes très bonne et il apparaît a priori peu vraisemblable qu'il trouverait le moyen, en cas de retour au Kosovo, de mettre facilement à profit les compétences qu'il a acquises dans le domaine de la mécanique des trottinettes électriques. On n'est ainsi pas loin du cas d'une intégration professionnelle exceptionnelle.</w:t>
      </w:r>
    </w:p>
    <w:p>
      <w:r>
        <w:rPr>
          <w:b/>
        </w:rPr>
        <w:t>E. 14</w:t>
      </w:r>
    </w:p>
    <w:p>
      <w:r>
        <w:t>Ce dernier élément, ajouté à l'absence de recours à l'aide sociale ainsi qu'à l'absence de poursuites, de même qu'aux huit années désormais passées par le recourant en Suisse de l'âge de 19 à 28 ans, aurait pu conduire le tribunal à porter sur la situation du recourant un regard différent de celui de l'autorité intimée, si le précité n'avait pas fait l'objet de l'ordonnance pénale susmentionnée du 5 décembre 2022, qui remet profondément en question sa volonté de s'intégrer en Suisse en respectant les règles de base de l'ordre juridique.</w:t>
      </w:r>
    </w:p>
    <w:p>
      <w:r>
        <w:rPr>
          <w:b/>
        </w:rPr>
        <w:t>E. 15</w:t>
      </w:r>
    </w:p>
    <w:p>
      <w:r>
        <w:t>Au vu de ceci, la décision litigieuse apparaît bien fondée quant à son résultat.</w:t>
      </w:r>
    </w:p>
    <w:p>
      <w:r>
        <w:t>- 12/13 - A/3150/2022</w:t>
      </w:r>
    </w:p>
    <w:p>
      <w:r>
        <w:rPr>
          <w:b/>
        </w:rPr>
        <w:t>E. 16</w:t>
      </w:r>
    </w:p>
    <w:p>
      <w:r>
        <w:t>Il convient encore de préciser à ce sujet, s'agissant de l'analyse à laquelle a procédé l'autorité intimée sur la question des conséquences du retour du recourant dans son pays d'origine, qu'il n'y a pas matière à la critiquer. Certes, ce retour s'accompagnera indéniablement d'une modification du niveau de vie du recourant, qui devra en outre retrouver du travail. Cependant, aucun élément du dossier ne permet de retenir que le précité serait confronté à des difficultés sensiblement plus importantes que l'ensemble de la population restée sur place. Au contraire, son parcours professionnel depuis 2018 démontre une très bonne capacité d'apprentissage et d'adaptation, ainsi que ses compétences en matière d'encadrement. Il s'agit d'atouts dont il pourra vraisemblablement se servir au Kosovo, cas échéant en ouvrant son propre commerce dans un domaine voisin de celui dans lequel il a travaillé ces dernières années.</w:t>
      </w:r>
    </w:p>
    <w:p>
      <w:r>
        <w:rPr>
          <w:b/>
        </w:rPr>
        <w:t>E. 17</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18</w:t>
      </w:r>
    </w:p>
    <w:p>
      <w:r>
        <w:t>En l'espèce, dès lors qu'il a refusé de délivrer une autorisation de séjour au recourant,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19</w:t>
      </w:r>
    </w:p>
    <w:p>
      <w:r>
        <w:t>Intégralement infondé, le recours sera donc rejeté.</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- 13/13 - A/3150/2022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