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JTAPI/238/2021 vom 9. März 2021</w:t>
      </w:r>
    </w:p>
    <w:p>
      <w:r>
        <w:t>GE Cour de justice, 2021-03-09, FR</w:t>
      </w:r>
    </w:p>
    <w:p>
      <w:r>
        <w:rPr>
          <w:b/>
        </w:rPr>
        <w:t xml:space="preserve">Quelle: </w:t>
      </w:r>
      <w:r>
        <w:t>https://mcp.opencaselaw.ch/entscheid/ge_gerichte_JTAPI_238_2021</w:t>
      </w:r>
    </w:p>
    <w:p>
      <w:r>
        <w:t>FR: GE_GERICHTE JTAPI/238/2021 du 9 mars 2021</w:t>
      </w:r>
    </w:p>
    <w:p>
      <w:r>
        <w:t>IT: GE_GERICHTE JTAPI/238/2021 del 9 marzo 2021</w:t>
      </w:r>
    </w:p>
    <w:p>
      <w:pPr>
        <w:pStyle w:val="Heading2"/>
      </w:pPr>
      <w:r>
        <w:t>Erwägungen</w:t>
      </w:r>
    </w:p>
    <w:p>
      <w:r>
        <w:rPr>
          <w:b/>
        </w:rPr>
        <w:t>E. 10</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138 III 378 consid. 6.1 ; 138 I 305 consid. 4.3 ; 137 I 1 consid. 2.4 ; arrêt du Tribunal fédéral 2C_180/2013, 2C_181/2013 du 5 novembre 2013 consid. 3). La notion d'arbitraire ne se confond donc pas avec ce qui apparaît discutable ou même critiquable (arrêt du Tribunal fédéral 6B_88/2012 du 17 août 2012 consid. 5.1).</w:t>
      </w:r>
    </w:p>
    <w:p>
      <w:r>
        <w:rPr>
          <w:b/>
        </w:rPr>
        <w:t>E. 11</w:t>
      </w:r>
    </w:p>
    <w:p>
      <w:r>
        <w:t>Dans le cadre de son large pouvoir d'appréciation, le DT peut statuer « en opportunité », en fonction, notamment, de la politique particulière qu'il entend mettre en œuvre (Thierry TANQUEREL, Manuel de droit administratif, 2011, n° 500 s. p. 166). De façon générale, le choix en opportunité est celui qui est fait entre plusieurs solutions, qui, par définition, sont toutes conformes au droit. Ainsi, l'opportunité est l'espace de liberté qui reste à l'administration une fois que celle-ci a strictement respecté le cadre légal et qu'elle a tenu compte de tous les principes juridiques qui s'imposent à elle à l'intérieur de ce cadre (Ibid., n° 519 p. 172). Il en résulte donc, comme déjà indiqué plus haut, que l'autorité n'est pas libre d'agir comme bon lui semble, puisqu'elle ne peut pas faire abstraction des principes constitutionnels régissant le droit administratif (ATA/366/2013 du 11 juin 2013 consid. 3a ; Thierry TANQUEREL, op. cit., n° 512 p. 170). Concrètement, cela signifie que le tribunal qui contrôle la conformité au droit d'une décision doit vérifier si l'administration a, dans l'exercice du pouvoir d'appréciation que lui confère la loi, respecté ces principes, mais s'abstenir d'examiner si les choix faits à l'intérieur de la marge de manœuvre laissée par ces principes sont « opportuns » ou non (cf. art. 61 al. 2 LPA ; Ibid., n° 525 p. 175 et la jurisprudence citée).</w:t>
      </w:r>
    </w:p>
    <w:p>
      <w:r>
        <w:rPr>
          <w:b/>
        </w:rPr>
        <w:t>E. 12</w:t>
      </w:r>
    </w:p>
    <w:p>
      <w:r>
        <w:t>Les autorités de recours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(ATA/824/2013 du 17 décembre 2013 consid. 6 ; ATA/537/2013 du 27 août 2013 consid. 6b ; ATA/147/2011 du 8 mars 2011 consid. 5 et les références citées).</w:t>
      </w:r>
    </w:p>
    <w:p>
      <w:r>
        <w:rPr>
          <w:b/>
        </w:rPr>
        <w:t>E. 13</w:t>
      </w:r>
    </w:p>
    <w:p>
      <w:r>
        <w:t>Les dispositions exceptionnelles ou dérogatoires sont interprétées selon les méthodes d'interprétation ordinaires sans nécessairement l'être de manière restrictive. Une dérogation importante peut se révéler indispensable pour éviter les effets rigoureux de la réglementation ordinaire. En tous les cas, la dérogation doit servir la loi ou, à tout le moins, les objectifs recherchés par celle-ci : l'autorisation</w:t>
      </w:r>
    </w:p>
    <w:p>
      <w:r>
        <w:t>- 10/14 - A/3020/2020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autorisations se substituerait au législateur cantonal ou communal par le biais de sa pratique dérogatoire. L'autorité ne doit pas, en faisant un usage trop laxiste de ce pouvoir, vider de son sens la notion d'autorisation exceptionnelle ou dérogatoire (arrêt du Tribunal fédéral 1C_159/2007 du 14 septembre 2007 consid. 3.3).</w:t>
      </w:r>
    </w:p>
    <w:p>
      <w:r>
        <w:rPr>
          <w:b/>
        </w:rPr>
        <w:t>E. 14</w:t>
      </w:r>
    </w:p>
    <w:p>
      <w:r>
        <w:t>L'octroi d'une dérogation implique une pesée entre les intérêts publics et privés de tiers au respect des dispositions dont il s'agirait de s'écarter et les intérêts du propriétaire privé à l'octroi d'une dérogation (arrêt du Tribunal fédéral 1C_159/2007 du 14 septembre 2007 consid. 3.3). L'octroi d'une dérogation peut ainsi s'imposer, suite à une pesée de tous les intérêts pertinents, en vertu du principe de proportionnalité ou d'égalité de traitement, ce dernier principe ne devant pas à nouveau conduire à transformer l'exception en règle (Thierry TANQUEREL, op. cit., p. 294 s et les références citées).</w:t>
      </w:r>
    </w:p>
    <w:p>
      <w:r>
        <w:rPr>
          <w:b/>
        </w:rPr>
        <w:t>E. 15</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 125 I 474 consid. 3 et les arrêts cités ; ATA/569/2015 du 2 juin 2015 consid. 24c et les arrêts cités).</w:t>
      </w:r>
    </w:p>
    <w:p>
      <w:r>
        <w:rPr>
          <w:b/>
        </w:rPr>
        <w:t>E. 16</w:t>
      </w:r>
    </w:p>
    <w:p>
      <w:r>
        <w:t>En vertu de l'art. 38 OPB concernant les méthodes de détermination,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w:t>
      </w:r>
    </w:p>
    <w:p>
      <w:r>
        <w:rPr>
          <w:b/>
        </w:rPr>
        <w:t>E. 17</w:t>
      </w:r>
    </w:p>
    <w:p>
      <w:r>
        <w:t>Pour les bâtiments, les immissions de bruit seront mesurées au milieu de la fenêtre ouverte des locaux à usage sensible au bruit, celles des avions pouvant également être déterminées à proximité des bâtiments (art. 39 al. 1 OPB).</w:t>
      </w:r>
    </w:p>
    <w:p>
      <w:r>
        <w:rPr>
          <w:b/>
        </w:rPr>
        <w:t>E. 18</w:t>
      </w:r>
    </w:p>
    <w:p>
      <w:r>
        <w:t>En matière de bruit du trafic aérien, les VLI sont celles fixées dans l'annexe 5 de l'OPB, à savoir 60 dB(A) de 6h à 22h, 55 dB(A) de 22h à 23h et 50 dB(A) de 23h à 24h et de 5h à 6h.</w:t>
      </w:r>
    </w:p>
    <w:p>
      <w:r>
        <w:rPr>
          <w:b/>
        </w:rPr>
        <w:t>E. 19</w:t>
      </w:r>
    </w:p>
    <w:p>
      <w:r>
        <w:t>De jurisprudence constante, l'autorité de recours doit appliquer les normes en vigueur au jour où elle statue (ATA/227/2018 consid. 5; ATA/1235/2017 consid. 3e).</w:t>
      </w:r>
    </w:p>
    <w:p>
      <w:r>
        <w:t>- 11/14 - A/3020/2020</w:t>
      </w:r>
    </w:p>
    <w:p>
      <w:r>
        <w:rPr>
          <w:b/>
        </w:rPr>
        <w:t>E. 20</w:t>
      </w:r>
    </w:p>
    <w:p>
      <w:r>
        <w:t>En l’espèce, les valeurs d'exposition au bruit actuellement en vigueur à la hauteur du projet litigieux découlent du cadastre du bruit du trafic aérien établi par l'OFAC en mars 2009. Si certes le 14 novembre 2018, le Conseil fédéral a adopté la fiche du plan sectoriel de l'infrastructure aéronautique (PSIA) pour l'aéroport de Genève, permettant l'engagement de la procédure pour fixer le bruit admissible et ensuite l'actualisation du cadastre du bruit, il n'en demeure pas moins que les nouvelles valeurs ne sont en l'état pas applicables.</w:t>
      </w:r>
    </w:p>
    <w:p>
      <w:r>
        <w:t>Dès lors ce sont bien les valeurs déterminées par le cadastre de 2009 qui doivent être respectées.</w:t>
      </w:r>
    </w:p>
    <w:p>
      <w:r>
        <w:rPr>
          <w:b/>
        </w:rPr>
        <w:t>E. 21</w:t>
      </w:r>
    </w:p>
    <w:p>
      <w:r>
        <w:t>Le dépassement des VLI en regard du cadastre des immiscions de bruit en vigueur actuellement sont de 4dB(A) entre 6h et 22h, 3db(A) entre 22h et 23h et 3dB(A) entre 23h et minuit, ce qui n’est pas contesté. En prenant en considération le cadastre 2019 soumis à l’enquête publique, le dépassement des VLI pour la période 6h-22h ne serait plus que de 3 dB(A), les deux autres valeurs étant inchangées. Au vu de cette situation, le SABRA a clairement indiqué dans son préavis du 2 mars 2020 que son préavis était favorable « sous réserve de l’assentiment de l’autorité compétente au sens de l’article 31 al. 2 OPB ». C’est ainsi à juste titre que le département a retenu que, vu les dépassements des VLI, l’art. 31 al. 1 OPB ne pouvait pas trouver application et que seul entrait en ligne de compte une application de l’al. 2.</w:t>
      </w:r>
    </w:p>
    <w:p>
      <w:r>
        <w:rPr>
          <w:b/>
        </w:rPr>
        <w:t>E. 22</w:t>
      </w:r>
    </w:p>
    <w:p>
      <w:r>
        <w:t>Le Tribunal fédéral a eu à connaître d'une situation portant sur un projet de construction sur la commune de Genthod. Le dépassement des VLI variait entre 5 et 8 dB(A), selon les heures de la journée et de la nuit, étant précisé que les valeurs d'alarme n'étaient atteintes que sur une portion congrue de la parcelle située à l'opposé de l'emplacement prévu pour les constructions litigieuses. Il n'était donc pas négligeable, même si l'on voulait tenir compte de la réduction minime du bruit que permettraient d'atteindre les mesures d'aménagement proposées par l'ingénieur acousticien pour faire écran au bruit. Les autorités cantonales, qui avaient refusé au recourant l'octroi de la dérogation prévue par l'art. 31 al. 2 OPB, pouvaient, « sans excéder leur pouvoir d'appréciation, faire prévaloir les impératifs de santé publique que visent à préserver les règles relatives aux valeurs limites d'immission sur celui du recourant à pouvoir réaliser deux villas jumelées sur sa parcelle ». L'atteinte portée au droit de propriété du recourant devait être relativisée, puisque celui-ci conservait la possibilité d'édifier sur la surface constructible disponible de sa parcelle une construction abritant des activités sans nuisances qui ne nécessitait pas de dérogation fondée sur l'art. 31 al. 2 OPB (arrêt 1C_196/2008 du 13 janvier 2009 consid. 2.6).</w:t>
      </w:r>
    </w:p>
    <w:p>
      <w:r>
        <w:t>- 12/14 - A/3020/2020 Plus récemment, le tribunal de céans a confirmé un refus d’autorisation de construire sur une parcelle dont les dépassements des VLI du DS II étaient de +3-4 dB(A) entre 6 et 22 h, + 6 dB(A) entre 22h et 23h et + 5-6 dB(A) entre 23h et minuit (JTAPI/118/2016)</w:t>
      </w:r>
    </w:p>
    <w:p>
      <w:r>
        <w:rPr>
          <w:b/>
        </w:rPr>
        <w:t>E. 23</w:t>
      </w:r>
    </w:p>
    <w:p>
      <w:r>
        <w:t>En l'espèce, il n'apparaît pas que l'autorité intimée aurait incorrectement appliqué les prescriptions légales applicables ou que, d'une manière ou d'une autre, elle aurait fait un usage excessif ou abusif de son pouvoir d'appréciation en refusant de délivrer l'autorisation de construire sollicitée par la recourante. Comme indiqué précédemment, les VLI ne sont respectées à aucun moment de la journée et de la nuit, et les dépassements en cause, sans être aussi élevés que dans certains cas retenus par la jurisprudence ne sauraient toutefois être considérés comme étant de faible intensité. Au vu du dépassement des VLI en cause, du préavis défavorable de l’aéroport et du contenu bien spécifique du préavis favorable sous conditions du SABRA, le DT pouvait donc, sans se fonder sur des considérations dénuées de pertinence ou étrangères au but visé par la loi, faire prévaloir les impératifs de santé publique que visent à préserver les règles rappelées plus haut sur celui de la recourante à pouvoir réaliser son projet de construction, étant rappelé que la réalisation de trois villas n'est pas en soi prépondérant sous l'angle de l’art. 31 al. 2 OPB. La recourante ne démontre par ailleurs pas en quoi la décision querellée, qui s'insère dans la ligne tracée par la jurisprudence, serait constitutive d'un excès ou d'un abus du pouvoir d'appréciation à disposition du département. Son intérêt à pouvoir utiliser sa parcelle de manière conforme à l'affectation de la zone ne peut pas être retenu comme suffisant car il reviendrait à accorder dans tous les cas une autorisation (ATA/781/2020 du 18 août 2020) ; par ailleurs, elle ne fait valoir qu’un intérêt purement financier. Enfin, il sera rappelé que la recourante peut procéder à des travaux sur la villa actuellement érigée sur la parcelle.</w:t>
      </w:r>
    </w:p>
    <w:p>
      <w:r>
        <w:rPr>
          <w:b/>
        </w:rPr>
        <w:t>E. 24</w:t>
      </w:r>
    </w:p>
    <w:p>
      <w:r>
        <w:t>Dans ces conditions, sauf à statuer en opportunité, ce que la loi lui interdit (art. 61 al. 2 LPA), le tribunal ne saurait substituer sa propre appréciation à celle du DT, qui s’est fondé sur les préavis du SABRA et de l’aéroport, les autres préavis rendus dans le cadre de l’instruction, tous favorables, n’ayant pas été ignorés par le département mais simplement non pertinent en ce qui concernait la question du bruit.</w:t>
      </w:r>
    </w:p>
    <w:p>
      <w:r>
        <w:rPr>
          <w:b/>
        </w:rPr>
        <w:t>E. 25</w:t>
      </w:r>
    </w:p>
    <w:p>
      <w:r>
        <w:t>Il résulte de ce qui précède que le refus querellé ne peut être que confirmé.</w:t>
      </w:r>
    </w:p>
    <w:p>
      <w:r>
        <w:rPr>
          <w:b/>
        </w:rPr>
        <w:t>E. 26</w:t>
      </w:r>
    </w:p>
    <w:p>
      <w:r>
        <w:t>Ne reposant sur aucun motif valable, le recours sera par conséquent rejeté.</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w:t>
      </w:r>
    </w:p>
    <w:p>
      <w:r>
        <w:t>- 13/14 - A/3020/2020 suite du dépôt du recours. Vu l’issue du litige, aucune indemnité de procédure ne sera allouée (art. 87 al. 2 LPA).</w:t>
      </w:r>
    </w:p>
    <w:p>
      <w:r>
        <w:t>- 14/14 - A/3020/2020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