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JTAPI/237/2024 vom 4. August 2023</w:t>
      </w:r>
    </w:p>
    <w:p>
      <w:r>
        <w:t>GE Cour de justice, 2023-08-04, FR</w:t>
      </w:r>
    </w:p>
    <w:p>
      <w:r>
        <w:rPr>
          <w:b/>
        </w:rPr>
        <w:t xml:space="preserve">Quelle: </w:t>
      </w:r>
      <w:r>
        <w:t>https://mcp.opencaselaw.ch/entscheid/ge_gerichte_JTAPI_237_2024</w:t>
      </w:r>
    </w:p>
    <w:p>
      <w:r>
        <w:t>FR: GE_GERICHTE JTAPI/237/2024 du 4 août 2023</w:t>
      </w:r>
    </w:p>
    <w:p>
      <w:r>
        <w:t>IT: GE_GERICHTE JTAPI/237/2024 del 4 agosto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12 mars 2024 à 14h05.</w:t>
      </w:r>
    </w:p>
    <w:p>
      <w:r>
        <w:rPr>
          <w:b/>
        </w:rPr>
        <w:t>E. 3</w:t>
      </w:r>
    </w:p>
    <w:p>
      <w:r>
        <w:t>L'art. 76 al. 1 let. b LEI stipule que lorsqu'une décision de renvoi a été notifiée, l'autorité compétente peut, afin d'en assurer l'exécution, mettre en détention la</w:t>
      </w:r>
    </w:p>
    <w:p>
      <w:r>
        <w:t>- 4/7 - A/858/2024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3.1</w:t>
      </w:r>
    </w:p>
    <w:p>
      <w:r>
        <w:t>; 2C_756/2009 du 15 décembre 2009 consid. 2.1).</w:t>
      </w:r>
    </w:p>
    <w:p>
      <w:r>
        <w:rPr>
          <w:b/>
        </w:rPr>
        <w:t>E. 4</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4.2</w:t>
      </w:r>
    </w:p>
    <w:p>
      <w:r>
        <w:t>;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w:t>
      </w:r>
    </w:p>
    <w:p>
      <w:r>
        <w:t>- 5/7 - A/858/2024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5</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6</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w:t>
      </w:r>
    </w:p>
    <w:p>
      <w:r>
        <w:rPr>
          <w:b/>
        </w:rPr>
        <w:t>E. 8</w:t>
      </w:r>
    </w:p>
    <w:p>
      <w:r>
        <w:t>En l'espèce, M. A______ fait l’objet d’une décision de renvoi de Suisse définitive et exécutoire prononcée par le SEM le 4 août 2023. En outre, il a adopté un comportement consistant dans le fait de refuser de prendre un vol à destination de la Turquie le 11 mars 2024. Par conséquent, contrairement à ce qu’il a soutenu dans sa plaidoirie, le fait qu’il n’avait jusque-là jamais disparu dans la clandestinité et qu’il ne s’était jamais servi d’un alias, ou encore le fait qu’il s’était simplement contenté de ne pas exécuter son renvoi, sont des éléments que son refus de prendre l’avion rend caduques. Désormais, M. A______ a exprimé clairement et par les actes son intention de se soustraire à son renvoi. Par conséquent, les conditions légales d’une détention au sens des dispositions susmentionnées sont réalisées quant au principe.</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11</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12</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- 6/7 - A/858/2024</w:t>
      </w:r>
    </w:p>
    <w:p>
      <w:r>
        <w:rPr>
          <w:b/>
        </w:rPr>
        <w:t>E. 13</w:t>
      </w:r>
    </w:p>
    <w:p>
      <w:r>
        <w:t>En l'espèce, la question peut se poser sous l’angle de la proportionnalité de savoir si une mesure moins incisive que la détention permettrait d’assurer l’exécution de son renvoi le moment venu. Par l’intermédiaire de son conseil, M. A______ a expliqué qu’il n’avait aucun intérêt à disparaître dans la clandestinité, puisqu’il s’apprêtait à déposer une nouvelle demande d’asile, ce qui signifiait qu’il avait encore l’espoir de pouvoir demeurer en Suisse. Par conséquent, selon lui, une mesure subsidiaire telle que l’obligation de se présenter régulièrement à la police serait suffisante. Le tribunal ne peut suivre ce raisonnement et ce pour deux raisons. Tout d’abord, le dossier ne contient aucun élément objectif concernant le fait que M. A______ aurait réellement fait des démarches en vue du dépôt d’une nouvelle demande d’asile, ce qui rend son argumentation à ce sujet peu convaincante. Mais surtout, le tribunal relève que M. A______ n’a en Suisse aucun lien qui l’amènerait à préférer poursuivre son séjour en Suisse plutôt que n’importe où ailleurs. Ainsi, même si l’on devait constater le dépôt d’une nouvelle demande d’asile, cela ne signifierait encore pas que M. A______ déciderait de demeurer en Suisse, plutôt que de se rendre dans un autre pays européen avec l’espoir d’y entamer de nouvelles démarches ou de disparaître dans la clandestinité. Par ailleurs, les autorités suisses ont jusqu’ici agi avec diligence en vue d’exécuter son renvoi. Quant à la durée elle-même de sa détention, elle n’apparaît pas d’emblée disproportionnée, compte tenu de l’incertitude relative qui concerne le délai dans lequel il sera possible d’organiser un nouveau vol.</w:t>
      </w:r>
    </w:p>
    <w:p>
      <w:r>
        <w:rPr>
          <w:b/>
        </w:rPr>
        <w:t>E. 14</w:t>
      </w:r>
    </w:p>
    <w:p>
      <w:r>
        <w:t>Au vu de ce qui précède, il y a lieu de confirmer l'ordre de mise en détention administrative de M. A______ pour une durée de deux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A/858/2024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