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JTAPI/237/2023 vom 23. Juli 2021</w:t>
      </w:r>
    </w:p>
    <w:p>
      <w:r>
        <w:t>GE Cour de justice, 2021-07-23, FR</w:t>
      </w:r>
    </w:p>
    <w:p>
      <w:r>
        <w:rPr>
          <w:b/>
        </w:rPr>
        <w:t xml:space="preserve">Quelle: </w:t>
      </w:r>
      <w:r>
        <w:t>https://mcp.opencaselaw.ch/entscheid/ge_gerichte_JTAPI_237_2023</w:t>
      </w:r>
    </w:p>
    <w:p>
      <w:r>
        <w:t>FR: GE_GERICHTE JTAPI/237/2023 du 23 juillet 2021</w:t>
      </w:r>
    </w:p>
    <w:p>
      <w:r>
        <w:t>IT: GE_GERICHTE JTAPI/237/2023 del 23 luglio 2021</w:t>
      </w:r>
    </w:p>
    <w:p>
      <w:pPr>
        <w:pStyle w:val="Heading2"/>
      </w:pPr>
      <w:r>
        <w:t>Erwägungen</w:t>
      </w:r>
    </w:p>
    <w:p>
      <w:r>
        <w:rPr>
          <w:b/>
        </w:rPr>
        <w:t>E. 1</w:t>
      </w:r>
    </w:p>
    <w:p>
      <w:r>
        <w:t>Le Tribunal administratif de première instance connaît des recours dirigés, comme en l’espèce, contre les décisions prises par le département en application de la loi</w:t>
      </w:r>
    </w:p>
    <w:p>
      <w:r>
        <w:t>- 5/11 - A/2628/2022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w:t>
      </w:r>
    </w:p>
    <w:p>
      <w:r>
        <w:rPr>
          <w:b/>
        </w:rPr>
        <w:t>E. 5</w:t>
      </w:r>
    </w:p>
    <w:p>
      <w:r>
        <w:t>Saisi d’un recours, le tribunal applique le droit d’office. Il ne peut pas aller au- delà des conclusions des parties, mais n’est lié ni par les motifs invoqués par celles-ci (art. 69 al. 1 LPA), ni par leur argumentation juridique (ATA/386/2018 du 24 avril 2018 consid. 1b).</w:t>
      </w:r>
    </w:p>
    <w:p>
      <w:r>
        <w:rPr>
          <w:b/>
        </w:rPr>
        <w:t>E. 6</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ATA/1400/2019 du 17 septembre 2019 consid. 2b).</w:t>
      </w:r>
    </w:p>
    <w:p>
      <w:r>
        <w:rPr>
          <w:b/>
        </w:rPr>
        <w:t>E. 7</w:t>
      </w:r>
    </w:p>
    <w:p>
      <w:r>
        <w:t>En l'espèce, dans ses observations du 24 octobre 2022, le département a expliqué que seule restait litigieuse la question de l’amende, le recourant ayant donné suite, postérieurement à son recours, aux deux autres points figurant dans sa décision du 22 juillet 2022 (travaux terminés et attestation globale de conformité transmise au département). L'examen du tribunal se limitera dès lors à l’examen du bien-fondé de ladite amende, étant relevé que les griefs soulevés par le recourant en lien avec l’adressage des bâtiments et ses diverses demandes de rendez-vous qui seraient restées sans suite, sont exorbitants au présent litige.</w:t>
      </w:r>
    </w:p>
    <w:p>
      <w:r>
        <w:t>- 6/11 - A/2628/2022</w:t>
      </w:r>
    </w:p>
    <w:p>
      <w:r>
        <w:rPr>
          <w:b/>
        </w:rPr>
        <w:t>E. 8</w:t>
      </w:r>
    </w:p>
    <w:p>
      <w:r>
        <w:t>Le recourant estime que l’amende est injustifiée. Les travaux avaient été engagés conformément à l’autorisation de construire initial et la mise en conformité confirmée par l’autorisation complémentaire du 12 avril 2022. La « gravité tant objective que subjective de l’infraction commise » retenue par le département était une appréciation inacceptable alors qu’il n’avait pas donné suite à ses diverses demandes de rendez-vous. Les travaux étaient actuellement terminés et une attestation globale de conformité avait été transmise au département le 10 janvier 2022, conformément à sa demande du 23 décembre 2021.</w:t>
      </w:r>
    </w:p>
    <w:p>
      <w:r>
        <w:rPr>
          <w:b/>
        </w:rPr>
        <w:t>E. 9</w:t>
      </w:r>
    </w:p>
    <w:p>
      <w:r>
        <w:t>Selon l'art. 1 al. 1 LCI,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(let. a) ; modifier même partiellement le volume, l'architecture, la couleur, l'implantation, la distribution ou la destination d'une construction ou d'une installation (let. b).</w:t>
      </w:r>
    </w:p>
    <w:p>
      <w:r>
        <w:rPr>
          <w:b/>
        </w:rPr>
        <w:t>E. 10</w:t>
      </w:r>
    </w:p>
    <w:p>
      <w:r>
        <w:t>Lorsque l'état d'une construction, d'une installation ou d'une autre chose n'est pas conforme aux prescriptions de la LCI, des règlements qu'elle prévoit ou des autorisations délivrées en application de ces dispositions légales ou réglementaires, le département peut notamment ordonner, à l'égard des constructions, des installations ou d'autres choses, la remise en état (art. 129 let. a et 130 LCI).</w:t>
      </w:r>
    </w:p>
    <w:p>
      <w:r>
        <w:rPr>
          <w:b/>
        </w:rPr>
        <w:t>E. 11</w:t>
      </w:r>
    </w:p>
    <w:p>
      <w:r>
        <w:t>Une fois qu'une autorisation de construire requise a posteriori est entrée en force, la construction initialement formellement illicite est pleinement régularisée. Son statut est dès lors assimilable à celui de n'importe quelle construction licite dès l'origine. La régularisation complète de la construction n'empêche toutefois pas de sanctionner le procédé suivi par le constructeur (cf. ATA/206/2020 du 25 février 2020 consid. 4e et la référence citée).</w:t>
      </w:r>
    </w:p>
    <w:p>
      <w:r>
        <w:rPr>
          <w:b/>
        </w:rPr>
        <w:t>E. 12</w:t>
      </w:r>
    </w:p>
    <w:p>
      <w:r>
        <w:t>Ancré à l'art. 25a de la loi fédérale du 22 juin 1979 sur l'aménagement du territoire (LAT - RS 700), le principe de coordination formelle et matérielle est également expressément consacré par le droit cantonal. Selon l'art. 3A LCI, lorsque plusieurs législations ayant entre elles un lien matériel étroit sont applicables à un projet de construction, la procédure directrice est celle relative aux autorisations de construire, à moins qu'une loi n'en dispose autrement ou sauf disposition contraire du Conseil d'État (al. 1).</w:t>
      </w:r>
    </w:p>
    <w:p>
      <w:r>
        <w:rPr>
          <w:b/>
        </w:rPr>
        <w:t>E. 13</w:t>
      </w:r>
    </w:p>
    <w:p>
      <w:r>
        <w:t>L'art. 12A LPA rappelle, quant à lui, le principe général selon lequel les procédures doivent être coordonnées lorsque plusieurs législations ayant entre elles un lien matériel étroit sont applicables à un projet.</w:t>
      </w:r>
    </w:p>
    <w:p>
      <w:r>
        <w:rPr>
          <w:b/>
        </w:rPr>
        <w:t>E. 14</w:t>
      </w:r>
    </w:p>
    <w:p>
      <w:r>
        <w:t>À de nombreuses reprises, le Tribunal fédéral a dégagé les principes imposant une coordination matérielle et formelle des décisions impliquant l'application de plusieurs dispositions légales différentes pour la réalisation du même projet. S'il</w:t>
      </w:r>
    </w:p>
    <w:p>
      <w:r>
        <w:t>- 7/11 - A/2628/2022 existe entre celles-ci une imbrication telle qu'elles ne sauraient être appliquées indépendamment les unes des autres, il y a lieu d'en assurer la coordination matérielle (ATF 118 IV 381 ; 118 Ib 326 ; arrêt 1C_14/2011 du 26 avril 2011 consid. 2.1 ; cf. aussi ATA/199/2013 du 26 mars 2013). De l'exigence de coordination matérielle naît une obligation de coordination formelle. Ces principes développés dans le cadre de l'application du droit fédéral valent, par analogie, dans tous les cas où un projet relève de dispositions légales cantonales étroitement imbriquées. En matière d'autorisation de construire, l'autorité doit prendre en compte toutes les dispositions légales pertinentes et, par conséquent, peser les intérêts y relatifs (ATA/199/2013 précité ; ATA/704/2012 du 16 octobre 2012). S’il n'est pas obligatoire pour le département de traiter des demandes d'autorisation de démolir et de construire en même temps (ATA/51/2013 du 29 janvier 2013), il devra en revanche y procéder, en vertu des principes de coordination matérielle et formelle, en présence d’une autorisation de construire impliquant la démolition d’un bâtiment existant (JTAPI/978/2020 du 10 novembre 2020).</w:t>
      </w:r>
    </w:p>
    <w:p>
      <w:r>
        <w:rPr>
          <w:b/>
        </w:rPr>
        <w:t>E. 15</w:t>
      </w:r>
    </w:p>
    <w:p>
      <w:r>
        <w:t>Aux termes de l'art. 137 LCI est passible d'une amende administrative de CHF 100.- à 150'000.- tout contrevenant à la LCI, aux règlements et aux arrêtés édictés en vertu de ladite loi, ainsi qu'aux ordres donnés par le département dans les limites de ladite loi et des règlements et arrêtés édictés en vertu de celle-ci (al. 1). Le montant maximum de l'amende est de CHF 20'000.-, lorsqu'une construction, une installation ou tout autre ouvrage a été entrepris sans autorisation, mais que les travaux sont conformes aux prescriptions légales (al. 2).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LCI non conforme à la réalité (al. 3). La poursuite et la sanction administrative se prescrivent par sept ans (al. 5).</w:t>
      </w:r>
    </w:p>
    <w:p>
      <w:r>
        <w:rPr>
          <w:b/>
        </w:rPr>
        <w:t>E. 16</w:t>
      </w:r>
    </w:p>
    <w:p>
      <w:r>
        <w:t>Selon la jurisprudence constante,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(ATA/559/2021 du 25 mai 2021 consid. 7c ; ATA/206/2020 du 25 février 2020 consid. 4b ; ATA/1277/2018 du 27 novembre 2018 consid. 6b ; ATA/1030/2018 du 2 octobre 2018 consid. 9b ; ATA/319/2017 du 21 mars 2017 consid. 3c et les références citées).</w:t>
      </w:r>
    </w:p>
    <w:p>
      <w:r>
        <w:rPr>
          <w:b/>
        </w:rPr>
        <w:t>E. 17</w:t>
      </w:r>
    </w:p>
    <w:p>
      <w:r>
        <w:t>En vertu de l'art. 1 let. a de la loi pénale genevoise du 17 novembre 2006 (LPG - E 4 05), les dispositions de la partie générale du code pénal suisse du</w:t>
      </w:r>
    </w:p>
    <w:p>
      <w:r>
        <w:t>- 8/11 - A/2628/2022</w:t>
      </w:r>
    </w:p>
    <w:p>
      <w:r>
        <w:rPr>
          <w:b/>
        </w:rPr>
        <w:t>E. 21</w:t>
      </w:r>
    </w:p>
    <w:p>
      <w:r>
        <w:t>En outre, l'administration doit faire preuve de sévérité, afin d'assurer le respect de la loi (ATA/559/2021 du 25 mai 2021 consid. 7d ; ATA/147/2021 du 9 février 2021 consid. 4d et e ; ATA/403/2019 du 9 avril 2019 consid. 7c ; ATA/1277/2018 du 27 novembre 2018 consid. 6d). L'autorité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w:t>
      </w:r>
    </w:p>
    <w:p>
      <w:r>
        <w:t>- 9/11 - A/2628/2022 (ATF 136 IV 55 consid. 5.6 ; 135 IV 130 consid. 5.3.1 ; 134 IV 17 consid. 2.1 ; 129 IV 6 consid. 6.1 et les références citées ; arrêts du Tribunal fédéral 6B_28/2016 du 10 octobre 2016 consid. 5.1 ; 6B_1276/2015 du 29 juin 2016 consid. 2.1).</w:t>
      </w:r>
    </w:p>
    <w:p>
      <w:r>
        <w:rPr>
          <w:b/>
        </w:rPr>
        <w:t>E. 22</w:t>
      </w:r>
    </w:p>
    <w:p>
      <w:r>
        <w:t>Enfin, l'amende doit respecter le principe de la proportionnalité garanti par l'art. 5 al. 2 Cst. (ATA/559/2021 du 25 mai 2021 consid. 7d et les arrêts cités ; ATA/313/2017 du 21 mars 2017), lequel commande que la mesure étatique soit nécessaire et apte à atteindre le but prévu et qu'elle soit raisonnable pour la personne concernée (ATF 140 I 257 consid. 6.3.1 ; 140 II 194 consid. 5.8.2 ; 139 I 218 consid. 4.3).</w:t>
      </w:r>
    </w:p>
    <w:p>
      <w:r>
        <w:rPr>
          <w:b/>
        </w:rPr>
        <w:t>E. 23</w:t>
      </w:r>
    </w:p>
    <w:p>
      <w:r>
        <w:t>En l’espèce, force est de retenir que les autorisations de construire et démolir étaient liées. Il ressort en effet du libellé et du dossier de la première que sa délivrance découlait de la délivrance de la seconde, impliquant, par voie de conséquence l'obligation, pour le propriétaire, d’y donner suite pour pouvoir réaliser le programme de construction prévu par la seconde. Partant, en ne réalisant que les travaux de la DD 3______, le recourant ne s’est pas conformé auxdites décisions, pourtant intrinsèquement liées, de sorte qu'une infraction a bien été réalisée. Le recourant semble d’ailleurs l’avoir bien compris puisque plutôt que de procéder aux travaux de démolition conformément à l’autorisation M 4______, il a décidé de régulariser la situation en déposant une autorisation de construire complémentaire en vue du maintien des constructions visées par la première.</w:t>
      </w:r>
    </w:p>
    <w:p>
      <w:r>
        <w:t>Il résulte des considérations qui précèdent que les manquements reprochés au recourant sont effectivement réalisés. De plus, eu égard à sa position de MPQ et à ses connaissances professionnelles, il ne pouvait ignorer la nature et la portée de ses obligations. Il a ainsi assurément commis une faute. L’amende est donc justifiée dans son principe.</w:t>
      </w:r>
    </w:p>
    <w:p>
      <w:r>
        <w:t>Concernant sa quotité, le montant de CHF 1'000.- infligé au recourant se situe dans la fourchette « basse » des amendes prévues à titre de sanctions administratives qui peuvent aller jusqu'à CHF 20'000.-. Si l’intéressé a certes collaboré ensuite du constat de l’infraction par le département, il ne pouvait toutefois, en sa qualité de MPQ, ignorer ses incombances au regard des autorisations délivrées. Il ne démontre enfin pas que l’amende le confronterait à une situation financière particulièrement difficile. Partant, l’amende s’avère parfaitement fondée à ce titre également.</w:t>
      </w:r>
    </w:p>
    <w:p>
      <w:r>
        <w:rPr>
          <w:b/>
        </w:rPr>
        <w:t>E. 24</w:t>
      </w:r>
    </w:p>
    <w:p>
      <w:r>
        <w:t>Mal fondé, le recours sera rejeté et la décision querellée confirmée.</w:t>
      </w:r>
    </w:p>
    <w:p>
      <w:r>
        <w:rPr>
          <w:b/>
        </w:rPr>
        <w:t>E. 25</w:t>
      </w:r>
    </w:p>
    <w:p>
      <w:r>
        <w:t>Vu cette issue, un émolument de CHF 500.- sera mis à la charge du recourant, qui succombe (art. 87 al. 1 LPA et 1 et 2 du règlement sur les frais, émoluments et</w:t>
      </w:r>
    </w:p>
    <w:p>
      <w:r>
        <w:t>- 10/11 - A/2628/2022 indemnités en procédure administrative du 30 juillet 1986 - RFPA - E 5 10.03). Il ne lui sera pas alloué d'indemnité de procédure.</w:t>
      </w:r>
    </w:p>
    <w:p>
      <w:r>
        <w:t>- 11/11 - A/2628/2022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