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JTAPI/236/2025 vom 6. März 2025</w:t>
      </w:r>
    </w:p>
    <w:p>
      <w:r>
        <w:t>GE Cour de justice, 2025-03-06, FR</w:t>
      </w:r>
    </w:p>
    <w:p>
      <w:r>
        <w:rPr>
          <w:b/>
        </w:rPr>
        <w:t xml:space="preserve">Quelle: </w:t>
      </w:r>
      <w:r>
        <w:t>https://mcp.opencaselaw.ch/entscheid/ge_gerichte_JTAPI_236_2025</w:t>
      </w:r>
    </w:p>
    <w:p>
      <w:r>
        <w:t>FR: GE_GERICHTE JTAPI/236/2025 du 6 mars 2025</w:t>
      </w:r>
    </w:p>
    <w:p>
      <w:r>
        <w:t>IT: GE_GERICHTE JTAPI/236/2025 del 6 marzo 2025</w:t>
      </w:r>
    </w:p>
    <w:p>
      <w:pPr>
        <w:pStyle w:val="Heading2"/>
      </w:pPr>
      <w:r>
        <w:t>Erwägungen</w:t>
      </w:r>
    </w:p>
    <w:p>
      <w:r>
        <w:rPr>
          <w:b/>
        </w:rPr>
        <w:t>E. 10</w:t>
      </w:r>
    </w:p>
    <w:p>
      <w:r>
        <w:t>Le 23 septembre 2024, la commune a répliqué et produit une expertise du 24 juin 2024 établie par Monsieur F______. Les protections RNI ne répondaient pas aux constructions visées par l'art. 1 al. 5 LCI et étaient par conséquent, soumises à l'autorisation de construire. Des éléments non représentés sur les plans visés ne varietur n'avaient pas été autorisés et ne pouvaient donc pas être pris en considération. La fiche était erronée, ce qui violait l'art. 11 al. 2 let. c ch. 2 et 3 ORNI. Les protections RNI n'avaient pas été prises en compte dans les diagrammes figurant sur la fiche et la constructrice ne pouvait donc affirmer qu'il s'agissait du "wortcase" scénario. S'agissant du LUS n°2, effectivement le projet querellé reposerait sur une terrasse en béton. Néanmoins, le solde de la toiture de l'immeuble était composé de lattage couvert de tuiles à laquelle aucun amortissement n'était applicable. Selon l'art. 11 al. 2 let. c ORNI, l'intensité devait être estimé là où le rayonnement était le plus fort. Selon les recommandations de l'OFEV, lorsque le rayonnement atteint des murs ou des plafonds constitués de matériaux différents, on utilisait la plus faible des valeurs. Par ailleurs, le coefficient des toits en tuile était de 0 dB. Enfin, aucun mesurage du LUS n°2 n'était prévu après la mise en service selon le préavis du SABRA. Ce raisonnement valait mutatis mutandis pour le LUS n°6, lequel se trouvait sous une verrière. L'application d'un autre amortissement que celui applicable au verre ne se justifiait d'aucune manière pour les antennes émettant dans les secteurs 1 à 3 car celle-ci bénéficiait nullement de l'amortissement lié à la protection RNI. La distance entre l'antenne et le LUS exerçait une influence importante sur la réduction d'intensité au lieu du LUS mais était une variable distincte de celle relative à l'amortissement du bâtiment. Il ne se justifiait donc nullement d'appliquer un coefficient de 5 dB au motif que le LUS n°5 serait distant de plus de 27 m et à 3.5 m en dessous des antennes. Cela reviendrait à appliquer à deux reprises l'amortissement, ce qui était erroné. Les protections RNI réduisaient le rayonnement à l'arrière des antennes et non dans la direction d'émission. C'était pour cette raison qu'un coefficient d'amortissement de 15 dB et non de 5 dB avait été appliqué. En revanche, la protection RNI n'avait aucune influence sur l'intensité du rayonnement en direction d'émission. L'amortissement de 5 dB aux secteurs 1 et 3 ne pouvait donc reposer sur les protections RNI. Il en allait de même s'agissant du LUS n°7 pour lequel la distance ne justifiait en rien l'application d'un coefficient d'amortissement de 15 dB s'agissant d'une façade vitrée à laquelle aucun amortissement n'aurait dû être appliqué. Rien ne permettait de présumer que l'installation visait à combler une lacune de couverture dans le réseau mobile, notamment en l'absence d'étude au dossier et d'obligation de planifier. Aucun déficit de couverture de la zone n'étant prouvé, il</w:t>
      </w:r>
    </w:p>
    <w:p>
      <w:r>
        <w:t>- 8/20 - A/1959/2024 convenait de faire primer l'intérêt à protéger la zone recensée à titre d'importance nationale sur un hypothétique intérêt privé à garantir un service universel. Selon l'expertise de M. F______, le LSM mentionné dans la fiche n'était pas sis à l'emplacement accessible où le rayonnement était le plus fort. A 2,8 du mât d'antennes où se trouvaient des installations des équipements de l'immeuble nécessitant des interventions humaines régulières pour leur maintenance, l'intensité était de 117,55 V/m en lieu et place de 50 V/m, soit un dépassement de 134%, ce qui violait l'art. 13 al. 1 ORNI. Les intensités aux LUS nos 3 et 4 étaient sous- évaluées. Une fois recalculée par l'expert, l'intensité minimale au LUS n°3 était de 6,68 V/m et de 7,12 V/m au LUS n°4. Il existait un lieu, rue G______ 8______, plus proche de l'antenne qui aurait dû être qualifié de LUS. Or, l'intensité au LUS n°3 était de 4.99 V/m après application à tort du coefficient d'amortissement de 15 dB. Dès lors, même sans correction, l'intensité du rayonnement au LUS se trouvant rue G______ 8______ était nécessairement supérieur à 4,99 V/m. La protection RNI agissait comme un miroir pour les ondes électromagnétiques, ce qui augmentait les charges en direction des LUS. La VLInst serait donc dépassée notamment aux LUS nos 2 et 3. Enfin, les dépassements de la VLI et de la VLInst mis en évidence par l'expertise emportaient une violation de l'art. 11 al. 2 ORNI car la fiche n'indiquait pas les lieux où le rayonnement était le plus fort, respectivement où la VLInst était dépassée. Vu la contestation des intimés des dépassements d'intensité, notamment aux LUS nos 2, 6 et 7 et le caractère erroné des amortissements liés aux enveloppes des bâtiments, une expertise judiciaire était requise.</w:t>
      </w:r>
    </w:p>
    <w:p>
      <w:r>
        <w:rPr>
          <w:b/>
        </w:rPr>
        <w:t>E. 11</w:t>
      </w:r>
    </w:p>
    <w:p>
      <w:r>
        <w:t>Dans sa duplique du 17 octobre 2024, le département a persisté dans son argumentaire. Le dossier avait été soumis au SABRA qui avait validé le projet. S'agissant des différentes mesures de protection prises en considération pour le calcul de l'atténuation du RNI, le SABRA avait expliqué que sont prises en compte, la présence d'éléments en béton, l'installation de grilles à maillage fin ainsi que la visibilité partielle ou non de l'installation par rapport au LUS (mesuré à 1,5 m au niveau du sol, conformément à ce que prescrivait la recommandation de l'OFEV de 2002). Si l'antenne n'était pas visible ou partiellement visible depuis le LUS, cela signifiait que les personnes concernées n'étaient pas directement exposées aux rayonnements émis, de par notamment la présence de structures (murs, toitures ou autre bâtiments), lesquelles venaient totalement ou partiellement amortir ces derniers, raison pour laquelle il était tenu compte d'une atténuation de ces rayonnements. Selon le Tribunal fédéral, c'était à l'autorité de choisir les LUS. La commune ne pouvait venir lui opposer l'existence de l'ISOS vu son caractère non contraignant, ce d'autant que la CMNS n'avait pas contesté le fait que cette antenne soit installée dans ce périmètre. Enfin, la nécessité de la mise en œuvre d'une expertise judiciaire n'avait pas été démontrée.</w:t>
      </w:r>
    </w:p>
    <w:p>
      <w:r>
        <w:rPr>
          <w:b/>
        </w:rPr>
        <w:t>E. 12</w:t>
      </w:r>
    </w:p>
    <w:p>
      <w:r>
        <w:t>B______ a dupliqué le 13 novembre 2024.</w:t>
      </w:r>
    </w:p>
    <w:p>
      <w:r>
        <w:t>- 9/20 - A/1959/2024 Il n'y avait aucune vue sur les antennes depuis les LUS nos 2 et 7, le bâtiment de l'antenne faisant lui-même obstacle au rayonnement, raison pour laquelle une atténuation de 15 dB était admissible. Le terrasson en béton couvrait une très grande partie de la toiture qui amortissait le rayonnement sur le LUS n°2. L'atténuation de 5 dB concernant le LUS n°6 avait été appliqué uniquement en raison d'une vue partielle sur les antennes et non en raison de protections RNI. Si une ligne droite était tracée depuis les antennes jusqu'à ce LUS, à une distance de 27 m et à 3.5 m contre le bas sur le même pan de toit (toit plat en béton), on ne voyait même pas les antennes. Le Tribunal fédéral avait admis à plusieurs reprises la construction d'une installation de communication mobile sur un immeuble se situant dans un périmètre inscrit à l'ISOS. En l'espèce, le périmètre 1 relatif au vieux A______ avait certes un objectif de sauvegarde A, mais l'installation projetée ne portait aucunement atteinte à l'objectif de sauvegarde tel que défini dans l'inventaire ISOS. Si atteinte il y avait, elle devait être qualifiée de minime dans la mesure où la hauteur de l'antenne avait été limitée à ce qui était strictement nécessaire d'un point de vue technique et un emplacement en retrait de la façade qui la dérobait le plus possible aux regards avait été choisi. D'autre part, l'installation était entièrement démontable sans porter une quelconque atteinte à la substance du bâtiment, le caractère irréversible de l'atteinte faisait donc défaut, ce qui excluait la qualification de grave. S'agissant de la pesée des intérêts, il fallait rappeler qu'une antenne équipée de nouvelles technologies telle la 5G qui utilisait principalement les bandes hautes, à portée limitée, couvrait un secteur d'un diamètre souvent inférieur à 100 m. Il était donc incontestable qu'une, voire plusieurs antennes, devaient être construites à l'intérieur du secteur protégé.</w:t>
      </w:r>
    </w:p>
    <w:p>
      <w:r>
        <w:rPr>
          <w:b/>
        </w:rPr>
        <w:t>E. 13</w:t>
      </w:r>
    </w:p>
    <w:p>
      <w:r>
        <w:t>Le 25 novembre 2024, la recourante a déposé une écriture spontanée. La notion de vue partielle était inexistante dans l'ORNI et était absente des recommandations de l'OFEV. La toiture séparant le LUS n°2 du projet d'antennes était en partie composée d'un lattage couvert de tuiles auquel aucun amortissement n'était applicable. Un occupant du LUS n° 2 serait exposé à une intensité bien supérieure à la VLInst s'il se trouvait sous la toiture composée d'un lattage en bois recouvert de tuile puisqu'il ne bénéficierait pas de l'amortissement d'une dalle en béton armé. La VLinst était donc bien dépassée pour ce LUS, ce qui justifiait l'annulation de l'autorisation de construire querellée. Il en allait de même pour le LUS n°6 correspondant à un appartement dans les combles en partie surmonté d'un toit en tuile (amortissement 0) mais surtout d'une large ouverture zénithale (amortissement 0) dont il avait été totalement fait abstraction. Enfin, les cartes produites par B______ démontrait une amélioration minime de couverture à proximité du projet et ce, alors que la zone bénéficiait d'ores et déjà d'une bonne couverture standard ou minimale. EN DROIT</w:t>
      </w:r>
    </w:p>
    <w:p>
      <w:r>
        <w:t>- 10/20 - A/1959/2024 1. Le tribunal connaît des recours dirigés, comme en l’espèce, contre les décisions prises par le département en application de la LCI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Pour qu’un recours soit recevable, encore faut-il que son auteur ait la qualité pour recourir. 4. Selon les art. 34 al. 1 de la loi d’application de la loi fédérale sur l’aménagement du territoire du 4 juin 1987 (LaLAT - L 1 30) et 145 al. 2 LCI, la commune du lieu de situation peut recourir contre les décisions du département du territoire. Cette dernière dispose de cette qualité du seul fait que la construction ou l’installation projetée se trouve sur son territoire (ATA/1104/2020 du 3 novembre 2020 consid. 1 et les références citées). 5. Dans la mesure où l’installation litigieuse se situe sur la commune de A______, cette dernière doit se voir conférer la qualité pour recourir.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7.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 8.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9. Les arguments formulés par les parties à l’appui de leurs conclusions respectives ainsi que le contenu des pièces versées aux dossiers seront repris et discutés dans la mesure utile (arrêts du Tribunal fédéral 1C_72/2017 du 14 septembre 2017 consid. 4.1 ; 1D_2/2017 du 22 mars 2017 consid. 5.1 et les arrêts cités).</w:t>
      </w:r>
    </w:p>
    <w:p>
      <w:r>
        <w:t>- 11/20 - A/1959/2024 10. À titre préalable, la commune sollicite la mise en œuvre d'une expertise judiciaire vu les dépassements d'intensité, notamment aux LUS nos 2, 6 et 7 et le caractère erroné des amortissements liés aux enveloppes des bâtiments. 11. Garanti par l'art. 29 al. 2 de la Constitution fédérale de la Confédération suisse du</w:t>
      </w:r>
    </w:p>
    <w:p>
      <w:r>
        <w:rPr>
          <w:b/>
        </w:rPr>
        <w:t>E. 18</w:t>
      </w:r>
    </w:p>
    <w:p>
      <w:r>
        <w:t>Aux termes de l'art. 2 LCI, les demandes d'autorisation sont adressées au département (al. 1). Le RCI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FAO doivent être établis et signés par une personne inscrite au tableau des mandataires professionnellement qualifiés dans la catégorie correspondant à la nature de l'ouvrage, au sens de la loi sur l'exercice des professions d'architecte et d'ingénieur du 17 décembre 1982 (LPAI - L 5 40). Demeurent réservés les projets de construction ou d'installation d'importance secondaire qui font l'objet de dispositions spéciales édictées par voie réglementaire (al. 3).</w:t>
      </w:r>
    </w:p>
    <w:p>
      <w:r>
        <w:rPr>
          <w:b/>
        </w:rPr>
        <w:t>E. 19</w:t>
      </w:r>
    </w:p>
    <w:p>
      <w:r>
        <w:t>Les pièces devant être jointes à la demande d'autorisation de construire ainsi que les visas nécessaires sont énumérés aux art. 9 al. 2 à 7 RCI. L'art. 9 al. 2 RCI prévoit qu'il y a lieu de joindre à la demande d’autorisation définitive, un extrait du plan cadastral conforme aux al. 2 et 4 de l'art. 7 de l'ordonnance fédérale sur la mensuration officielle du 18 novembre 1992 (OMO - RS 211.432.2), obtenu soit sur le guichet cartographique de la mensuration officielle, soit auprès d'un ingénieur-géomètre officiel. Sur ce plan, la nouvelle construction doit être figurée et cotée par rapport aux limites de propriété, avec des niveaux aux angles des constructions, des coupes de principe sur la construction projetée, et l'indication des gabarits théoriques, de telle sorte qu'il soit facile de déterminer ses relations avec les voies les plus proches (publiques ou chemins privés) et les propriétés limitrophes sur une profondeur de 15 m au moins, en indiquant les constructions existantes et, le cas échéant, les distances aux lisières forestières, au lac et aux cours d'eau. Sont également précisés : les emplacements de stationnement, l'aménagement des accès, les raccordements à la voie publique, les sens de circulation prévus, ainsi que les raccords aux canalisations d'évacuation existantes, les bâtiments encore non cadastrés ou qui ne nécessitent pas de cadastration, éventuellement à conserver ou à démolir, et les arbres à abattre (10 ex.). La signature du plan cadastral par un ingénieur-géomètre officiel est obligatoire, sauf lorsque l'objet de la demande porte uniquement sur la transformation, la rénovation ou le changement d'affectation d'une construction.</w:t>
      </w:r>
    </w:p>
    <w:p>
      <w:r>
        <w:rPr>
          <w:b/>
        </w:rPr>
        <w:t>E. 20</w:t>
      </w:r>
    </w:p>
    <w:p>
      <w:r>
        <w:t>Les exigences formelles imposées par l'art. 9 al. 2 RCI ne sont pas seulement destinées à permettre au département d'instruire les demandes et de contrôler leur conformité à la loi, ou encore de faciliter le travail du juge. Elles permettent</w:t>
      </w:r>
    </w:p>
    <w:p>
      <w:r>
        <w:t>- 13/20 - A/1959/2024 également de garantir l'exercice du droit de chacun de consulter – et de comprendre – les projets de construction qui sont déposés et celui des personnes disposant d'un intérêt digne de protection de recourir, le cas échéant, en connaissance de cause (art. 3 al. 2 et 145 LCI, 18 RCI et 60 LPA ; ATA/997/2023 du 12 septembre 2023 consid. 3.2 et l'arrêt cité).</w:t>
      </w:r>
    </w:p>
    <w:p>
      <w:r>
        <w:rPr>
          <w:b/>
        </w:rPr>
        <w:t>E. 21</w:t>
      </w:r>
    </w:p>
    <w:p>
      <w:r>
        <w:t>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(ATA/997/2023 précité consid. 3.2 et l'arrêt cité).</w:t>
      </w:r>
    </w:p>
    <w:p>
      <w:r>
        <w:rPr>
          <w:b/>
        </w:rPr>
        <w:t>E. 22</w:t>
      </w:r>
    </w:p>
    <w:p>
      <w:r>
        <w:t>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(art. 13 al. 1 RCI).</w:t>
      </w:r>
    </w:p>
    <w:p>
      <w:r>
        <w:rPr>
          <w:b/>
        </w:rPr>
        <w:t>E. 23</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w:t>
      </w:r>
    </w:p>
    <w:p>
      <w:r>
        <w:rPr>
          <w:b/>
        </w:rPr>
        <w:t>E. 25</w:t>
      </w:r>
    </w:p>
    <w:p>
      <w:r>
        <w:t>Le grief d'une violation de l'art. 9 al. 2 RCI sera donc écarté.</w:t>
      </w:r>
    </w:p>
    <w:p>
      <w:r>
        <w:rPr>
          <w:b/>
        </w:rPr>
        <w:t>E. 26</w:t>
      </w:r>
    </w:p>
    <w:p>
      <w:r>
        <w:t>La recourante soulève une violation du principe de précaution.</w:t>
      </w:r>
    </w:p>
    <w:p>
      <w:r>
        <w:rPr>
          <w:b/>
        </w:rPr>
        <w:t>E. 27</w:t>
      </w:r>
    </w:p>
    <w:p>
      <w:r>
        <w:t>La Confédération veille à prévenir les atteintes nuisibles ou incommodantes pour l'être humain et son environnement naturel (art. 74 al. 2 Cst.). Comme déjà mentionné, les atteintes qui pourraient devenir nuisibles ou incommodantes seront</w:t>
      </w:r>
    </w:p>
    <w:p>
      <w:r>
        <w:t>- 14/20 - A/1959/2024 réduites à titre préventif et assez tôt (art. 1 al. 2 LPE).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du Tribunal fédéral 1A.134/2003 du 5 avril 2004 consid. 3.2, in DEP 2004 p. 228). Les valeurs limites spécifiées dans l'ORNI pour la protection contre les rayonnements non ionisants sont fondées sur des résultats scientifiquement étayés concernant les risques pour la santé liés aux antennes de radiotéléphonie mobile. Le Conseil fédéral et son autorité spécialisée, l'OFEV, suivent en permanence l'évolution de la science avec un groupe consultatif d'experts (ci-après : BERENIS) et doivent, si nécessaire, adapter les valeurs limites à l'état de la science ou de l'expérience (arrêts du Tribunal fédéral 1C_518/2018 du 14 avril 2020 consid. 5.1.1 ; 1C_348/2017 du 21 février 2018 consid. 4 ; 1C_118/2010 du 20 octobre 2010 consid. 4.2.3).</w:t>
      </w:r>
    </w:p>
    <w:p>
      <w:r>
        <w:rPr>
          <w:b/>
        </w:rPr>
        <w:t>E. 28</w:t>
      </w:r>
    </w:p>
    <w:p>
      <w:r>
        <w:t>De jurisprudence constante, le principe de prévention est réputé respecté en cas de conformité de la VLInst dans les LUS où cette valeur s'applique (ATF 126 II 399 consid. 3c ; ATF 133 II 64 consid. 5.2 ; arrêt 1A.68/2005 du 26 janvier 2006 consid. 3.2 in SJ 2006 I 314). Cela étant, vu la marge de manœuvre dont dispose le Conseil fédéral quant à l'établissement des valeurs limites, seuls de solides éléments démontrant de nouvelles connaissances fondées scientifiquement justifient de remettre en cause ces valeurs (arrêt du Tribunal fédéral 1C_323/2017 du 15 janvier 2018 consid. 2.5). Selon la jurisprudence du Tribunal fédéral, l'étendue de la limitation préventive des émissions selon l'art. 4 al. 1 ORNI est déterminée de manière exhaustive avec l'édiction des VLInst, raison pour laquelle les autorités appliquant la loi ne peuvent pas exiger une limitation supplémentaire dans des cas individuels sur la base de l'art. 12 al. 2 LPE (ATF 133 II 64 consid. 5.2; Arrêts du Tribunal fédéral 1A_251/2002 du 24 octobre 2003, consid. 4 ; 1A.10/2001 du 8 avril 2002, consid. 2.2 ; Joel DRITTENBASS, op. cit., p. 141-142).</w:t>
      </w:r>
    </w:p>
    <w:p>
      <w:r>
        <w:rPr>
          <w:b/>
        </w:rPr>
        <w:t>E. 29</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ERP (art. 3 al. 9 ORNI), y compris la direction du faisceau principal des antennes, et si l'antenne fonctionne en mode adaptatif ou non. Les données correspondantes servent de base pour le permis de construire et sont contraignantes pour l'opérateur (ATF 128 II 378 ; arrêt du Tribunal fédéral 1A.264/2000 du 24 septembre 2002 consid. 8.1). La fiche doit également contenir des informations sur le lieu accessible où ce rayonnement est le plus fort, sur les trois LUS où ce rayonnement est le plus fort, et sur tous les LUS où la VLInst au sens de l’annexe 1 est dépassée (art. 11 al. 2 let. c ORNI).</w:t>
      </w:r>
    </w:p>
    <w:p>
      <w:r>
        <w:t>- 15/20 - A/1959/2024</w:t>
      </w:r>
    </w:p>
    <w:p>
      <w:r>
        <w:rPr>
          <w:b/>
        </w:rPr>
        <w:t>E. 30</w:t>
      </w:r>
    </w:p>
    <w:p>
      <w:r>
        <w:t>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w:t>
      </w:r>
    </w:p>
    <w:p>
      <w:r>
        <w:rPr>
          <w:b/>
        </w:rPr>
        <w:t>E. 32</w:t>
      </w:r>
    </w:p>
    <w:p>
      <w:r>
        <w:t>Il en découle qu'en l'état actuel des connaissances scientifiques, il n'est pas possible d'invoquer le principe de prévention pour s'opposer à la technologie 5G, dès lors que les valeurs-limites prévues par l'ORNI sont concrètement respectées (ATA/415/2022 du 26 avril 2022 consid. 6).</w:t>
      </w:r>
    </w:p>
    <w:p>
      <w:r>
        <w:rPr>
          <w:b/>
        </w:rPr>
        <w:t>E. 33</w:t>
      </w:r>
    </w:p>
    <w:p>
      <w:r>
        <w:t>Il découle de la p. 25 des recommandations d'exécution de l'ORNI de l'OFEV de 2002 que lorsque le lieu de séjour concerné se situe à l’intérieur d’un bâtiment et les antennes à l’extérieur, le rayonnement est plus ou moins amorti selon la nature du matériau qui constitue l’enveloppe du bâtiment. Les pertes sont exprimées en fonction des matériaux de construction usuels à l’aide des valeurs du tableau. Lorsque le rayonnement atteint des murs ou des plafonds constitués de matériaux différents, on utilise la plus faible des valeurs correspondantes. Par principe, on considère que l’amortissement dû à une façade comportant des fenêtres est nul (0 dB). Selon le tableau, l'amortissement de béton armé et d'une façade métallique est</w:t>
      </w:r>
    </w:p>
    <w:p>
      <w:r>
        <w:t>- 16/20 - A/1959/2024 de 15 dB, les briques de 5 dB et le bois, le toit de tuiles et le verre (p.ex. fenêtre), de 0 dB. Cette publication est une recommandation, d’autres solutions n'étant pas exclues (p. 1).</w:t>
      </w:r>
    </w:p>
    <w:p>
      <w:r>
        <w:rPr>
          <w:b/>
        </w:rPr>
        <w:t>E. 34</w:t>
      </w:r>
    </w:p>
    <w:p>
      <w:r>
        <w:t>Selon une jurisprudence bien établie, les autorités de recours observent une certaine retenue pour éviter de substituer leur propre appréciation à celle des instances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(ATA/332/2022 du 29 mars 2022 consid. 4b ; ATA/1098/2019 du 25 juin 2019 consid. 2e).</w:t>
      </w:r>
    </w:p>
    <w:p>
      <w:r>
        <w:rPr>
          <w:b/>
        </w:rPr>
        <w:t>E. 35</w:t>
      </w:r>
    </w:p>
    <w:p>
      <w:r>
        <w:t>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w:t>
      </w:r>
    </w:p>
    <w:p>
      <w:r>
        <w:rPr>
          <w:b/>
        </w:rPr>
        <w:t>E. 36</w:t>
      </w:r>
    </w:p>
    <w:p>
      <w:r>
        <w:t>En l'espèce, d'après la fiche, la VLInst à respecter est celle prévue à l'art. 3 al. 3 let. c ORNI, soit 5.0 V/m. S'agissant du rayonnement dans les LUS les plus chargés toutes les mesures présentent une intensité de champ électrique inférieure à 5.0 V/m. Ces mesures ont été vérifiées par le SABRA, autorité spécialisée compétente, sans que celle-ci n'ait mis en doute leur véracité et ce, également après avoir pris connaissance de la position de M. F______ dans la présente procédure. S'agissant des LUS nos 3 à 7 et comme l'a indiqué le SABRA dans les observations du département du 12 août 2024, le rayonnement des antennes est partiellement amorti par les protections RNI, lesquelles sont obligatoires comme on l'a vu supra, et pour le LUS n°7, sans aucune vue directe sur les antennes, ce qui justifie les atténuations appliquées. S'agissant du LUS n° 2, dans la mesure où il reposera sur une terrasse en béton, c'est à juste titre que le coefficient d'atténuation de 15 dB a été appliqué puisque sans vue directe sur la partie du toit à pans dont le rayonnement ne peut donc être atteint. Quant à l'atténuation de 5 db concernant le LUS n° 6, il ne prêt pas flanc à la critique, le SABRA, instance spécialisée, ayant indiqué qu'elle était justifiée en raison de la visibilité partielle voire inexistante selon les arguments</w:t>
      </w:r>
    </w:p>
    <w:p>
      <w:r>
        <w:t>- 17/20 - A/1959/2024 développés dans la duplique de B______ du 13 novembre 2024. Il n'y a pas lieu pour le tribunal de céans de remettre en cause ces considérations. Par ailleurs, le permis de construire garantit toujours le respect des valeurs limites pertinentes, notamment par le biais des conditions associées comprises dans le préavis du SABRA, en particulier une mesure de contrôle aux LUS nos 3 à 6 et une intégration de cette installation dans le système AQ de l'opérateur. Enfin, s'agissant d'un LUS à la rue G______ 8______ le tribunal rappellera que selon la jurisprudence du Tribunal fédéral, c'est à l'autorité de qu'il revient de choisir les LUS à mesurer en tenant compte des motifs techniques inhérents au cas d'espèce et de son expérience en la matière (arrêt du Tribunal fédéral 1C_100/2021 du 14 février 2023 consid. 8.4.3).</w:t>
      </w:r>
    </w:p>
    <w:p>
      <w:r>
        <w:rPr>
          <w:b/>
        </w:rPr>
        <w:t>E. 37</w:t>
      </w:r>
    </w:p>
    <w:p>
      <w:r>
        <w:t>Compte tenu du contrôle effectué par le SABRA, autorité spécialisée en la matière réputée capable d'émettre un avis dépourvu de subjectivité et de considérations étrangères aux buts de protection de la loi ainsi que de la retenue certaine que le tribunal de céans s’impose lorsque, comme en l’espèce, les normes juridiques font appel à des connaissances spécialisées ou particulières en matière de protection de l'environnement, le calcul effectué par l'opérateur – validé par l'instance spécialisée – doit être confirmé.</w:t>
      </w:r>
    </w:p>
    <w:p>
      <w:r>
        <w:rPr>
          <w:b/>
        </w:rPr>
        <w:t>E. 38</w:t>
      </w:r>
    </w:p>
    <w:p>
      <w:r>
        <w:t>Ainsi, en octroyant l'autorisation de construire sur la base de la prévision que l'installation respecterait les VLInst, moyennant les réserves émises dans le préavis du SABRA, et vu l'examen opéré par cette instance de la fiche, la décision du département est conforme au droit fédéral.</w:t>
      </w:r>
    </w:p>
    <w:p>
      <w:r>
        <w:rPr>
          <w:b/>
        </w:rPr>
        <w:t>E. 39</w:t>
      </w:r>
    </w:p>
    <w:p>
      <w:r>
        <w:t>Partant, le principe de précaution n'a pas été violé et le grief sera écarté.</w:t>
      </w:r>
    </w:p>
    <w:p>
      <w:r>
        <w:rPr>
          <w:b/>
        </w:rPr>
        <w:t>E. 40</w:t>
      </w:r>
    </w:p>
    <w:p>
      <w:r>
        <w:t>La recourante soutient que l'armoire technique s'inscrivait en dehors du gabarit de la toiture du bâtiment et qu'elle aurait dû faire l'objet d'une dérogation.</w:t>
      </w:r>
    </w:p>
    <w:p>
      <w:r>
        <w:rPr>
          <w:b/>
        </w:rPr>
        <w:t>E. 41</w:t>
      </w:r>
    </w:p>
    <w:p>
      <w:r>
        <w:t>En vertu de l'art. 26 al. 1 LCI, les constructions ne doivent en aucun cas dépasser un gabarit limité par un alignement et une ligne verticale de façade dont la hauteur est définie à l’article 27. Selon l'al. 6 de cette disposition, la hauteur de la ligne verticale du gabarit ne peut dépasser nulle part 21 m (H ≤ 21). Afin de permettre la construction de logements supplémentaires au sens des alinéas 3 à 5, la hauteur de la ligne verticale du gabarit ne peut dépasser nulle part 27 m (H ≤ 27).</w:t>
      </w:r>
    </w:p>
    <w:p>
      <w:r>
        <w:rPr>
          <w:b/>
        </w:rPr>
        <w:t>E. 42</w:t>
      </w:r>
    </w:p>
    <w:p>
      <w:r>
        <w:t>Dans une affaire lucernoise, le Tribunal fédéral a jugé que les installations techniques et l'antenne devaient être considérées comme une seule et même installation, exemptée des limitations générales de hauteur. La question de savoir si la hauteur totale maximale autorisée du bâtiment était dépassée pouvait donc rester ouverte, l'application par l'instance inférieure de l'exception pour les superstructures techniques étant justifiée. Ainsi, le caisson technique était un élément des antennes et donc, une superstructure techniquement nécessaire pour laquelle les prescriptions générales de hauteur n'étaient pas applicables (c.f. arrêt du Tribunal fédéral du 8 novembre 2024 1C_616/2023 consid. 3.4).</w:t>
      </w:r>
    </w:p>
    <w:p>
      <w:r>
        <w:t>- 18/20 - A/1959/2024</w:t>
      </w:r>
    </w:p>
    <w:p>
      <w:r>
        <w:rPr>
          <w:b/>
        </w:rPr>
        <w:t>E. 43</w:t>
      </w:r>
    </w:p>
    <w:p>
      <w:r>
        <w:t>La présente espèce n’est pas différente de celle examinée ci-dessus par le Tribunal fédéral de sorte qu'aucune dérogation n'était nécessaire pour l'installation de l'armoire technique, la question de savoir si sa hauteur respecte les arts. 26 et 27 al. 6 LCI pouvant restée ouverte.</w:t>
      </w:r>
    </w:p>
    <w:p>
      <w:r>
        <w:rPr>
          <w:b/>
        </w:rPr>
        <w:t>E. 44</w:t>
      </w:r>
    </w:p>
    <w:p>
      <w:r>
        <w:t>Partant, ce grief sera également écarté.</w:t>
      </w:r>
    </w:p>
    <w:p>
      <w:r>
        <w:rPr>
          <w:b/>
        </w:rPr>
        <w:t>E. 45</w:t>
      </w:r>
    </w:p>
    <w:p>
      <w:r>
        <w:t>Dans un ultime grief présenté au stade de sa réplique, la recourante soulève qu'aucun déficit de couverture n'avait été prouvé et qu'en conséquence, il convenait de faire primer l'intérêt à la protection de la zone recensée d'importance nationale.</w:t>
      </w:r>
    </w:p>
    <w:p>
      <w:r>
        <w:rPr>
          <w:b/>
        </w:rPr>
        <w:t>E. 46</w:t>
      </w:r>
    </w:p>
    <w:p>
      <w:r>
        <w:t>L’admission de la qualité pour recourir ne signifie toutefois pas encore que toutes les conclusions, respectivement griefs, formulés par un recourant sont recevables. D'après la jurisprudence du Tribunal fédéral, le droit de réplique, déduit des art. 6 CEDH et 29 al. 2 Cst., n’a pas vocation à permettre à la partie recourante de présenter des arguments nouveaux ou des griefs qui auraient déjà pu figurer dans l’acte de recours. La possibilité offerte par ces normes de déposer une réplique après réception des observations de la partie adverse ne peut servir qu'à se prononcer sur les prises de position déposées par la partie adverse. Sont en revanche exclus dans ce cadre les conclusions et les griefs que le recourant aurait pu formuler avant l'expiration du délai de recours (ATF 147 I 16 consid. 3.4.3 ; 143 II 283 consid. 1.2.3 ; 135 I 19 consid. 2.1). Admettre le contraire aurait pour conséquence de prolonger le délai légal de recours, ce que prohibe expressément l'art. 47 al. 1 de la loi sur le Tribunal fédéral du 17 juin 2005 (LTF - RS 173.110), dont la teneur est identique à l'art. 16 al. 1 LPA, hormis une réserve concernant les cas de force majeure, et de créer des inégalités de traitement. Des explications et éléments nouveaux présentés au-delà du délai de recours, qui auraient déjà pu être formulés dans l'acte de recours doivent être déclarés irrecevables (arrêts du Tribunal fédéral 1C_176/2022 du 18 juillet 2024 ; 2C_622/2021 du 6 avril 2022, consid. 1.2 ; 1C_70/2020 du 8 décembre 2020 consid. 2).</w:t>
      </w:r>
    </w:p>
    <w:p>
      <w:r>
        <w:rPr>
          <w:b/>
        </w:rPr>
        <w:t>E. 47</w:t>
      </w:r>
    </w:p>
    <w:p>
      <w:r>
        <w:t>En l'occurrence, le grief soulevé l'a été pour la première fois au stade de la réplique. Or, conformément à la jurisprudence du Tribunal fédéral précitée, il sort manifestement du cadre du droit à la réplique, dès lors qu'il est entièrement nouveau et ne peut se rattacher à l'argumentation défendue auparavant par les recourants, dans le délai légal de recours. Au surplus, rien n'amène à penser que la réserve du cas de force majeure prévue par l'art. 16 al. 1 LPA s'appliquerait en l'espèce, étant précisé que cela n'est ni démontré, ni même allégué. En tout état, le tribunal précisera que la CMNS n'a relevé aucune atteinte à la zone recensée d'importance nationale par l'installation litigeuse dans son préavis et que le Tribunal fédéral a jugé que l'intérêt à une bonne desserte en téléphonie mobile, tant qualitative que quantitative, est susceptible de l'emporter sur l'atteinte marginale portée au site protégé ainsi qu'aux monuments historiques mentionnés (cf. ATF 133 II 321 consid. 4.3.4 ; arrêts 1C_703/2020 du 13 octobre 2022 consid. 7.6 ; 1C_451/2017 du 30 mai 2018 consid. 2.4 ; 1C_173/2016 du 23 mai 2017 consid. 6.2), ce qui est le cas en l'espèce.</w:t>
      </w:r>
    </w:p>
    <w:p>
      <w:r>
        <w:t>- 19/20 - A/1959/2024</w:t>
      </w:r>
    </w:p>
    <w:p>
      <w:r>
        <w:rPr>
          <w:b/>
        </w:rPr>
        <w:t>E. 48</w:t>
      </w:r>
    </w:p>
    <w:p>
      <w:r>
        <w:t>Partant, ce grief est irrecevable.</w:t>
      </w:r>
    </w:p>
    <w:p>
      <w:r>
        <w:rPr>
          <w:b/>
        </w:rPr>
        <w:t>E. 49</w:t>
      </w:r>
    </w:p>
    <w:p>
      <w:r>
        <w:t>Mal fondé, le recours sera rejeté.</w:t>
      </w:r>
    </w:p>
    <w:p>
      <w:r>
        <w:rPr>
          <w:b/>
        </w:rPr>
        <w:t>E. 50</w:t>
      </w:r>
    </w:p>
    <w:p>
      <w:r>
        <w:t>En application des art. 87 al. 1 LPA et 1 et 2 du règlement sur les frais, émoluments et indemnités en procédure administrative du 30 juillet 1986 (RFPA - E 5 10.03), la recourante qui succombe est condamnés au paiement d’un émolument s'élevant à CHF 900.- ; il est couvert par l’avance de frais versée à la suite du dépôt du recours. 51. N’ayant pas fait appel à un mandataire externe, aucune indemnité de procédure ne sera allouée à B______ (art. 87 al. 2 à 4 LPA et 6 RFPA).</w:t>
      </w:r>
    </w:p>
    <w:p>
      <w:r>
        <w:t>- 20/20 - A/1959/2024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