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JTAPI/236/2021 vom 9. März 2021</w:t>
      </w:r>
    </w:p>
    <w:p>
      <w:r>
        <w:t>GE Cour de justice, 2021-03-09, FR</w:t>
      </w:r>
    </w:p>
    <w:p>
      <w:r>
        <w:rPr>
          <w:b/>
        </w:rPr>
        <w:t xml:space="preserve">Quelle: </w:t>
      </w:r>
      <w:r>
        <w:t>https://mcp.opencaselaw.ch/entscheid/ge_gerichte_JTAPI_236_2021</w:t>
      </w:r>
    </w:p>
    <w:p>
      <w:r>
        <w:t>FR: GE_GERICHTE JTAPI/236/2021 du 9 mars 2021</w:t>
      </w:r>
    </w:p>
    <w:p>
      <w:r>
        <w:t>IT: GE_GERICHTE JTAPI/236/2021 del 9 marzo 2021</w:t>
      </w:r>
    </w:p>
    <w:p>
      <w:pPr>
        <w:pStyle w:val="Heading2"/>
      </w:pPr>
      <w:r>
        <w:t>Erwägungen</w:t>
      </w:r>
    </w:p>
    <w:p>
      <w:r>
        <w:rPr>
          <w:b/>
        </w:rPr>
        <w:t>E. 1</w:t>
      </w:r>
    </w:p>
    <w:p>
      <w:r>
        <w:t>Le Tribunal administratif de première instance connaît des recours dirigés, comme en l’espèce, contre les décisions prises par le département en application de la LCI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Les recourants sollicitent dans un premier temps un transport sur place ainsi que l’audition de leur architecte et des préaviseurs de la CMNS, de la CA et du SPI.</w:t>
      </w:r>
    </w:p>
    <w:p>
      <w:r>
        <w:t>- 8/18 - A/1621/2020</w:t>
      </w:r>
    </w:p>
    <w:p>
      <w:r>
        <w:rPr>
          <w:b/>
        </w:rPr>
        <w:t>E. 4</w:t>
      </w:r>
    </w:p>
    <w:p>
      <w:r>
        <w:t>Le droit d'être entendu, garanti par l'art. 29 al. 2 de la Constitution fédérale de la Confédération suisse du 18 avril 1999 (Cst. - RS 101), comprend notamment le droit pour les parties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 140 I 285 consid. 6.3.1).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 Ces principes s'appliquent en particulier à la tenue d'une inspection locale, en l'absence d'une disposition cantonale qui imposerait une telle mesure d'instruction, étant précisé qu'une telle disposition n'existe pas en droit genevois (ATF 120 Ib 224 consid. 2b ; arrêt du Tribunal fédéral 1C_243/2013 du 27 septembre 2013 consid. 3.2.1 ; ATA/720/2012 du 30 octobre 2012 consid. 3). Par ailleurs, ce droit ne confère pas le droit d'être entendu oralement, ni celui d'obtenir l'audition de témoins (art. 41 in fine LPA ; ATF 134 I 140 consid. 5.3 ; 130 II 425 consid. 2.1 ; arrêts du Tribunal fédéral 2C_901/2014 du 27 janvier 2015 consid. 3 ; 8C_8/2012 du 17 avril 2012 consid. 1.2).</w:t>
      </w:r>
    </w:p>
    <w:p>
      <w:r>
        <w:rPr>
          <w:b/>
        </w:rPr>
        <w:t>E. 5</w:t>
      </w:r>
    </w:p>
    <w:p>
      <w:r>
        <w:t>En l'espèce, le tribunal estime que le dossier contient les éléments suffisants et nécessaires à l'examen des griefs et arguments mis en avant par les parties. En particulier, les plans et les photographies versés au dossier, y compris les vues aériennes du périmètre concerné, ainsi que les outils disponibles sur Internet, soit notamment le système d'information du territoire genevois (ci-après : SITG), permettent parfaitement de visualiser l'emplacement du projet litigieux, de sorte que cette mesure d'instruction, non obligatoire en soi, ne fournirait pas d'informations pertinentes supplémentaires. S’agissant des auditions des préaviseurs et de l’architecte, ces dernières s’avèrent non nécessaires au regard du dossier, et notamment des préavis qui y figurent. Les recourants n’indiquent en outre pas en quoi ces auditions seraient propres à apporter des éléments nouveaux et déterminants pour l’issue du litige. Partant, le dossier étant complet et le tribunal disposant des éléments nécessaires pour statuer en toute connaissance de cause, il ne sera pas donné suite aux mesures d'instruction sollicitées.</w:t>
      </w:r>
    </w:p>
    <w:p>
      <w:r>
        <w:rPr>
          <w:b/>
        </w:rPr>
        <w:t>E. 6</w:t>
      </w:r>
    </w:p>
    <w:p>
      <w:r>
        <w:t>Les recourants semblent, dans un premier grief, se plaindre d’une violation du principe de la bonne foi.</w:t>
      </w:r>
    </w:p>
    <w:p>
      <w:r>
        <w:t>- 9/18 - A/1621/2020</w:t>
      </w:r>
    </w:p>
    <w:p>
      <w:r>
        <w:rPr>
          <w:b/>
        </w:rPr>
        <w:t>E. 7</w:t>
      </w:r>
    </w:p>
    <w:p>
      <w:r>
        <w:t>Le principe de la bonne foi consacré aux art. 9 et 5 al. 3 Cst. exige que l'administration et les administrés se comportent réciproquement de manière loyale et leur commande de s'abstenir, dans leurs relations de droit public, de tout comportement contradictoire ou abusif (ATF 137 II 182 consid. 3.6.2 ; 137 I 69 consid. 2.5.1). Le principe de la confiance s'applique aux procédures administratives. Selon ce principe, les décisions, les déclarations et comportements de l'administration doivent être compris dans le sens que son destinataire pouvait et devait leur attribuer selon les règles de la bonne foi, compte tenu de l'ensemble des circonstances qu'il connaissait ou aurait dû connaître (ATF 135 III 410 consid. 3.2 ; arrêts du Tribunal fédéral 2P.170/2004 du 14 octobre 2004 consid. 2.2.1 in RDAF 2005 71 ; ATA/1299/2019 du 27 août 2019 consid. 3d ; Thierry TANQUEREL, op. cit., n. 569 s). L'interprétation objectivée selon le principe de la confiance sera celle d'une personne loyale et raisonnable (ATF 116 II 431 consid. 3a ; ATA/399/2019 du 9 avril 2019 consid. 2). L'interprétation selon le principe de la confiance s'applique aussi aux déclarations de personnes privées (ATA/548/2018 du 5 juin 2018 consid. 4h et les références citées). Le principe de la bonne foi protège le citoyen dans la confiance légitime qu'il met dans les assurances reçues des autorités lorsqu'il a réglé sa conduite d'après des décisions, des déclarations ou un comportement déterminé de l'administration (ATF 137 II 182 consid. 3.6.2 et les arrêts cités ; arrêts du Tribunal fédéral 1C_151/2012 du 5 juillet 2012 consid. 4.2.1 et 2C_1023/2011 du 10 mai 2012 consid. 5). Le principe de la confiance est toutefois un élément à prendre en considération et non un facteur donnant en tant que tel naissance à un droit. La protection de la bonne foi ne s'applique pas si l'intéressé connaissait l'inexactitude de l'indication ou aurait pu la connaître en consultant simplement les dispositions légales pertinentes (ATF 135 III 489 consid. 4.4 ; 134 I 199 consid. 1.3.1 ; Thierry TANQUEREL, Manuel de droit administratif, 2011, p. 193 s n. 568 s).</w:t>
      </w:r>
    </w:p>
    <w:p>
      <w:r>
        <w:rPr>
          <w:b/>
        </w:rPr>
        <w:t>E. 8</w:t>
      </w:r>
    </w:p>
    <w:p>
      <w:r>
        <w:t>En l’espèce, contrairement à ce les recourants allèguent, il ne ressort pas du dossier que le département aurait donné des assurances ou des promesses ou fait des déclarations devant être comprises comme la délivrance de l’autorisation. Au contraire, il ressort spécifiquement des termes utilisés par les recourants dans leurs écritures, que tel n’est pas le cas, puisqu’ils estiment seulement que l’autorisation de construire aurait dû « selon toute vraisemblance » être délivrée et « paraissait » en bonne voie de l’être. Les échanges de messages entre un inspecteur de l’OAC et leur mandataire ne contiennent d’ailleurs aucune promesse ou assurance quant à la délivrance de l’autorisation de construire. Il faut par ailleurs rappeler que la délivrance ou le refus d’une autorisation de construire est de la compétence du département, qui s’appuie sur les préavis obtenus dans le cadre de l’instruction du dossier.</w:t>
      </w:r>
    </w:p>
    <w:p>
      <w:r>
        <w:t>- 10/18 - A/1621/2020 S’agissant d’éventuelles assurances données par l’architecte voire la régie ou le vendeur, lors de l’achat de la parcelle, ces éléments ne lient pas le département. En outre, contrairement aux allégations des recourants, aucune déclaration expresse n’a été faite par les inspecteurs de la construction en charge de l’instruction du dossier ni par la personne de l’OU, qui n’est d’ailleurs pas en charge de la délivrance des autorisations de construire, ce que les recourants n’ignorent pas. Les recourants ne prouvent ainsi pas qu’ils auraient obtenu une quelconque assurance de la part du département quant à la possibilité de déroger à l’IUS de la parcelle litigieuse. Les multiples jurisprudences, peu pertinentes, citées in extenso par les recourants, ne permettent pas de modifier ces constats. Dans ces conditions, le principe de la bonne foi, n’a pas été violé et ce grief doit être écarté.</w:t>
      </w:r>
    </w:p>
    <w:p>
      <w:r>
        <w:rPr>
          <w:b/>
        </w:rPr>
        <w:t>E. 9</w:t>
      </w:r>
    </w:p>
    <w:p>
      <w:r>
        <w:t>Les recourants se prévalent d’une violation de l’art. 59 al. 4 LCI, au motif que le département aurait violé son pouvoir d’appréciation en refusant l’autorisation. Le changement de pratique induit par le moratoire constituerait la raison pour laquelle l’autorisation leur aurait été refusée.</w:t>
      </w:r>
    </w:p>
    <w:p>
      <w:r>
        <w:rPr>
          <w:b/>
        </w:rPr>
        <w:t>E. 10</w:t>
      </w:r>
    </w:p>
    <w:p>
      <w:r>
        <w:t>En vertu de l’art. 1 al. 1 let. a LCI, nul ne peut, sur tout le territoire du canton, sans y avoir été autorisé, élever en tout ou partie une construction ou une installation (comme l'art. 22 al. 1 de loi fédérale sur l’aménagement du territoire du 22 juin 1979 [LAT - RS 700], qui prévoit qu'aucune construction ou installation ne peut être créée ou transformée sans autorisation de l’autorité compétente). Sont réputées constructions ou installations toutes choses immobilières ou mobilières édifiées au-dessus ou au-dessous du sol ainsi que toutes leurs parties intégrantes et accessoires, soit notamment les ascenseurs et monte-charges, les installations de chauffage, de distribution d’eau, de gaz ou d’électricité et les antennes électromagnétiques (art. 1 let. d du règlement d’application de la loi sur les constructions et les installations diverses du 27 février 1978 - RCI - L 5 05.01).</w:t>
      </w:r>
    </w:p>
    <w:p>
      <w:r>
        <w:rPr>
          <w:b/>
        </w:rPr>
        <w:t>E. 11</w:t>
      </w:r>
    </w:p>
    <w:p>
      <w:r>
        <w:t>Les al. 1, 4 et 5 de l'art. 59 LCI ont été modifiés le 1er octobre 2020 ; par ailleurs des al. 3bis, 4bis, 4ter ont été introduits à la même date. Ces modifications sont entrées en vigueur le 28 novembre 2020. Selon l'art. 156 LCI qui traite des dispositions transitoires, l'art. 59 al. 3bis, 4 et 5, dans sa teneur du 1er octobre 2020 s'applique aux demandes d'autorisation déposées après leur entrée en vigueur.</w:t>
      </w:r>
    </w:p>
    <w:p>
      <w:r>
        <w:rPr>
          <w:b/>
        </w:rPr>
        <w:t>E. 12</w:t>
      </w:r>
    </w:p>
    <w:p>
      <w:r>
        <w:t>En l'espèce, ce sont donc les anciennes dispositions qui s'appliquent.</w:t>
      </w:r>
    </w:p>
    <w:p>
      <w:r>
        <w:rPr>
          <w:b/>
        </w:rPr>
        <w:t>E. 13</w:t>
      </w:r>
    </w:p>
    <w:p>
      <w:r>
        <w:t>À teneur de l'art. 59 al. 1 LCI, en 5ème zone, la surface de la construction, exprimée en m2 de plancher, ne doit pas excéder 25 % de la surface de la parcelle.</w:t>
      </w:r>
    </w:p>
    <w:p>
      <w:r>
        <w:rPr>
          <w:b/>
        </w:rPr>
        <w:t>E. 14</w:t>
      </w:r>
    </w:p>
    <w:p>
      <w:r>
        <w:t>Lorsque les circonstances le justifient et que cette mesure est compatible avec le caractère, l'harmonie et l'aménagement du quartier, le département peut autoriser,</w:t>
      </w:r>
    </w:p>
    <w:p>
      <w:r>
        <w:t>- 11/18 - A/1621/2020 après consultation de la commune et de la commission d'architecture, un projet de construction en ordre contigu ou sous forme d’habitat groupé dont la surface de plancher habitable n'excède pas 44% de la surface du terrain, lorsque la construction est conforme à un standard de haute performance énergétique, reconnue comme telle par le service compétent (art. 59 al. 4 let. a LCI).</w:t>
      </w:r>
    </w:p>
    <w:p>
      <w:r>
        <w:rPr>
          <w:b/>
        </w:rPr>
        <w:t>E. 15</w:t>
      </w:r>
    </w:p>
    <w:p>
      <w:r>
        <w:t>La compatibilité du projet avec le caractère, l'harmonie et l'aménagement du quartier, exigée par l'art. 59 al. 4 LCI, est une clause d'esthétique, analogue à celle contenue à l'art. 15 LCI. 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(ATA/1098/2019 du 25 juin 2019 consid. 2b ; ATA/1371/2018 du 18 décembre 2018 ; ATA/828/2015 du 11 août 2015).</w:t>
      </w:r>
    </w:p>
    <w:p>
      <w:r>
        <w:rPr>
          <w:b/>
        </w:rPr>
        <w:t>E. 16</w:t>
      </w:r>
    </w:p>
    <w:p>
      <w:r>
        <w:t>Comme le Tribunal fédéral a déjà eu l'occasion de le préciser, la première condition imposée par l'art. 59 al. 4 let. a LCI, soit le caractère justifié des circonstances, relève de l'opportunité, que le tribunal ne peut pas contrôler, alors que la seconde relative à la compatibilité du projet pose des critères relatifs à l'esthétique et à l'aménagement du territoire conférant un large pouvoir d'appréciation à l'autorité qui doit s'exercer dans le cadre légal. Cette deuxième condition relève non pas de l'opportunité, mais de l'exercice d'un pouvoir d'appréciation, dont le tribunal est habilité, selon l'art. 61 al. 1 let. a LPA, à sanctionner l'excès ou l'abus (arrêt du Tribunal fédéral 1P.50/2003 du 27 mars 2003 consid. 2.2 et les références citées ; ATA/123/2018 du 6 février 2018 consid. 4c; ATA/1273/2017 du 12 septembre 2017 consid. 11b).</w:t>
      </w:r>
    </w:p>
    <w:p>
      <w:r>
        <w:rPr>
          <w:b/>
        </w:rPr>
        <w:t>E. 17</w:t>
      </w:r>
    </w:p>
    <w:p>
      <w:r>
        <w:t>L’art. 59 al. 4 let. a LCI est issu d’une modification législative qui visait à promouvoir une utilisation plus intensive du sol en zone villas pour répondre à la crise du logement sévissant à Genève. Le département doit cependant recueillir les appréciations de la CA, respectivement celles de la commune du lieu de situation. Malgré cette double consultation, le législateur n’a pas attribué de pouvoir de décision aux communes - ou aux autorités de préavis - concernant l’octroi d’autorisation de construire un projet présentant l’un des IUS dérogatoires prévus par l’art. 59 al. 4 let. a LCI. Ainsi, conformément à l’art. 3 al. 3 LCI, la délivrance de telles autorisations de construire demeure de la compétence exclusive du département à qui il appartient de statuer en tenant compte de tous les intérêts en</w:t>
      </w:r>
    </w:p>
    <w:p>
      <w:r>
        <w:t>- 12/18 - A/1621/2020 présence (ATA/318/2017 du 21 mars 2017 ; ATA/828/2015 du 11 août 2015 ; ATA/699/2015 du 30 juin 2015).</w:t>
      </w:r>
    </w:p>
    <w:p>
      <w:r>
        <w:rPr>
          <w:b/>
        </w:rPr>
        <w:t>E. 18</w:t>
      </w:r>
    </w:p>
    <w:p>
      <w:r>
        <w:t>Les préavis recueillis au cours de la procédure d'autorisation ne lient ni l'autorité exécutive cantonale, ni les autorités judiciaires. Ils sont en principe sans caractère contraignant pour l'autorité administrative, étant précisé que cette dernière ne saurait faire abstraction des préavis exprimés dans des conditions prévues par la loi (Stéphane GRODECKI, La jurisprudence en matière d'aménagement du territoire et de droit public des constructions rendue par le Tribunal administratif genevois en 2008, in RDAF 2009, n° 2, p. 130). Lorsque la consultation d'une commission de spécialistes est imposée par la loi, le préavis de celle-là est déterminant dans l'appréciation qu'est amenée à effectuer l'autorité de recours (ATA/246/2016 du 15 mars 2016 consid. 6b ; ATA/720/2012 du 30 octobre 2012 consid. 9a ; ATA/313/2012 du 22 mai 2012 consid. 10 ; ATA/113/2012 du 28 février 2012 ; ATA/703/2010 du 12 octobre 2010 et les références citées).</w:t>
      </w:r>
    </w:p>
    <w:p>
      <w:r>
        <w:rPr>
          <w:b/>
        </w:rPr>
        <w:t>E. 19</w:t>
      </w:r>
    </w:p>
    <w:p>
      <w:r>
        <w:t>Selon une jurisprudence bien établie, chaque fois que l'autorité inférieure suit les préavis requis, la juridiction de recours doit s'imposer une certaine retenue, qui est fonction de son aptitude à trancher le litige (Thierry TANQUEREL, Manuel de droit administratif, 2011, p. 168 n. 508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(ATA/51/2013 du 29 janvier 2013 ; ATA/199/2013 du 26 mars 2012).</w:t>
      </w:r>
    </w:p>
    <w:p>
      <w:r>
        <w:rPr>
          <w:b/>
        </w:rPr>
        <w:t>E. 20</w:t>
      </w:r>
    </w:p>
    <w:p>
      <w:r>
        <w:t>Le PDCn 2030, adopté le 20 septembre 2013 par le Grand Conseil et approuvé par le Conseil fédéral le 29 avril 2015, veille notamment à la mise à disposition des surfaces nécessaires pour répondre aux besoins de logement. Il a force obligatoire pour les communes et le Conseil d'État, mais ne produit en revanche aucun effet direct à l'égard des particuliers (art. 9 al. 1 LAT ; arrêt du Tribunal fédéral 1C_ 423/2016 du 3 avril 2017 ; ATA/436/2018 du 8 mai 2018 consid. 5a). Sa fiche A04, intitulée « Favoriser une utilisation diversifiée de la zone villas », a pour objectif la poursuite de la densification sans modification de zone de la zone villas en favorisant l'habitat individuel groupé. Elle préconise, aux abords de l'agglomération dense, de maintenir la majeure partie de la zone villas, tout en accentuant sa densification, afin de mieux répondre aux besoins pour ce type d'habitat. Ainsi, en excluant les secteurs relevant de la protection du patrimoine et des sites, où une faible densité doit être maintenue, la densification de la 5ème zone villas sans modification de zone doit se faire par application d'indices d'utilisation du sol plus élevés, de façon différenciée en fonction des caractéristiques du site et du contexte urbain. Ladite fiche précise qu'il s'agit d'une diversification des types</w:t>
      </w:r>
    </w:p>
    <w:p>
      <w:r>
        <w:t>- 13/18 - A/1621/2020 de logements et des morphologies urbaines au moyen d'une meilleure utilisation des zones villas et du sol. Cette fiche donne mandat aux communes de proposer, dans leurs plans directeurs communaux, des stratégies communales pour leur zone villas en identifiant les secteurs à densifier, les éléments remarquables à protéger, le maillage arborisé à maintenir ou à créer, les espaces verts et publics à créer. Il ressort de la jurisprudence qu’en 5ème zone, le PDCn 2030 peut prévoir des indices maximums à respecter selon les quartiers (arrêt du Tribunal fédéral 1C_416/2018 du 15 juillet 2019, consid. 5).</w:t>
      </w:r>
    </w:p>
    <w:p>
      <w:r>
        <w:rPr>
          <w:b/>
        </w:rPr>
        <w:t>E. 21</w:t>
      </w:r>
    </w:p>
    <w:p>
      <w:r>
        <w:t>La notion de pratique administrative désigne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(ATA/596/2015 du 9 juin 2015 ; ATA/20/2015 du 6 janvier 2015).</w:t>
      </w:r>
    </w:p>
    <w:p>
      <w:r>
        <w:rPr>
          <w:b/>
        </w:rPr>
        <w:t>E. 22</w:t>
      </w:r>
    </w:p>
    <w:p>
      <w:r>
        <w:t>S'agissant du gel des dérogations à la densité en zone 5 décrété par le Conseil d'État le 28 novembre 2019, il s’applique à toutes les autorisations déposées après le 28 novembre 2019 et non aux autorisations déposées avant cette date (https://www.ge.ch/document/18326/telecharger, en particulier p. 14, consulté le 1er février 2021).</w:t>
      </w:r>
    </w:p>
    <w:p>
      <w:r>
        <w:rPr>
          <w:b/>
        </w:rPr>
        <w:t>E. 23</w:t>
      </w:r>
    </w:p>
    <w:p>
      <w:r>
        <w:t>En l'occurrence, la parcelle concernée se trouve, selon l’annexe à la fiche A04, carte no 1, en périmètre de protection, où l’IUS est limité à 0.2 au maximum. Le département a considéré que les circonstances du cas d'espèce ne justifiaient pas l'octroi de la dérogation de l'art. 59 al. 4 LCI, sous peine de mettre en péril l'objectif de protection de cette zone tel que défini par le PDCn 2030. Ce faisant, le département a considéré que la première condition de l'art. 59 al. 4 let. a LCI, soit le caractère justifié des circonstances, n'était pas remplie. Or, comme susmentionné, cette condition relève de l'opportunité, (ATA/1529/2019 du 15 octobre 2019 ; ATA/1426/2019 du 24 septembre 2019), que le tribunal n'est pas compétent pour apprécier. À titre superfétatoire, il sera relevé que rien ne permet de considérer que le département se serait laissé guider par des considérations non fondées objectivement, étrangères au but prévu par la loi ou en contradiction avec elle. Il apparaît au contraire que le département a fondé sa décision - suivant alors également le préavis du SPI et de la commune - sur la protection de cette zone prévue par le PDCn 2030 et en cours.</w:t>
      </w:r>
    </w:p>
    <w:p>
      <w:r>
        <w:t>- 14/18 - A/1621/2020 S’agissant enfin de la question du gel des dérogations, la demande d’autorisation a été déposée une première fois en décembre 2018, et une seconde fois, par les nouveaux propriétaires, le 27 juin 2019, soit quelques mois avant l’entrée en vigueur de ce moratoire. Partant, elle n’est pas concernée par celui-ci. Dans ces conditions, les longs développements des recourants sur le changement de pratique, qui aurait prétérité leur dossier, s’agissant en particulier du préavis du SPI, ne sont pas pertinents. En effet, il ressort du dossier que le premier préavis du SPI aurait déjà dû mettre en évidence l’incompatibilité du projet avec l’IUS prévu par le PDCn 2030. Néanmoins, celui-ci, qui n’a au demeurant pas valeur de décision, a été corrigé par le second et le troisième préavis de cette instance. Ces derniers ont ainsi souligné l’incompatibilité de l’IUS du projet avec l’IUS maximal prévu par le PDCn 2030 pour cette zone. Ainsi, le refus d’autorisation découle de la limitation de l’IUS prévue par le PDCn 2030, et non, comme les recourants semblent l’affirmer, d’une application, « anticipée » du gel des dérogations en zone villa, consécutive à un changement de pratique du département. Partant, ce grief peut être écarté.</w:t>
      </w:r>
    </w:p>
    <w:p>
      <w:r>
        <w:rPr>
          <w:b/>
        </w:rPr>
        <w:t>E. 24</w:t>
      </w:r>
    </w:p>
    <w:p>
      <w:r>
        <w:t>Au stade de leur réplique, les recourants ont invoqué la protection des droits acquis, laquelle devrait, pour autant que leur grief soit compréhensible, leur permettre de réaliser le projet querellé.</w:t>
      </w:r>
    </w:p>
    <w:p>
      <w:r>
        <w:rPr>
          <w:b/>
        </w:rPr>
        <w:t>E. 25</w:t>
      </w:r>
    </w:p>
    <w:p>
      <w:r>
        <w:t>Sous le terme de droit acquis est désigné un ensemble assez hétérogène de droits des administrés envers l'État dont la caractéristique commune est qu'ils bénéficient d'une garantie particulière de stabilité. Des droits acquis peuvent être conférés par la loi lorsque celle-ci les qualifie comme tels ou lorsqu'elle garantit leur pérennité, soit si le législateur a promis dans la loi que celle-ci ne serait pas modifiée ou sera maintenue telle quelle pendant un certain temps. Dans ce contexte, le Tribunal fédéral considère que les prétentions financières des fonctionnaires n'ont en général pas le caractère de droit acquis, sauf si la loi les a fixées une fois pour toute en les soustrayant aux effets de la législation postérieure ou si des assurances particulières ont été données lors d'un engagement individuel (ATF 143 I 65 ;134 I 23). Un droit acquis peut être créé dans les mêmes conditions que par la loi par une décision individuelle. On notera à cet égard que le simple octroi d'une autorisation de police comme par exemple une autorisation de construire ne crée pas de droits acquis. En tant que telle, la répétition de décisions successives de contenu identique n'en fait pas non plus de droits acquis. La catégorie la plus importante de droits acquis est constituée de ceux qui sont créés par un contrat entre l'État et les administrés. La stabilité particulière du droit est ici fondée sur le principe pacta sunt servanda (principe de la confiance ; Thierry TANQUEREL, Manuel de droit administratif, 2ème éd., p. 266 et 267).</w:t>
      </w:r>
    </w:p>
    <w:p>
      <w:r>
        <w:t>- 15/18 - A/1621/2020</w:t>
      </w:r>
    </w:p>
    <w:p>
      <w:r>
        <w:rPr>
          <w:b/>
        </w:rPr>
        <w:t>E. 26</w:t>
      </w:r>
    </w:p>
    <w:p>
      <w:r>
        <w:t>En l’espèce, les recourants, dans une argumentation confuse, semblent retenir qu’ils devraient bénéficier de droits acquis s’agissant de la densité de leur propriété, et que par conséquent celle-ci pourrait être augmentée en cas de rénovation. Contrairement à leurs affirmations, il ne peut être retenu qu’ils bénéficient de droit acquis s’agissant de la densité, laquelle pourrait évoluer en fonction d’une modification législative par exemple. En outre, s’ils bénéficiaient de tels droits, cela ne leur permettrait que de rénover leur habitation sans modifier la surface brute de plancher, laquelle devrait être maintenue à 25%. Ainsi, la densité qu’ils visaient dans leur projet ne pourrait pas être réalisée par ce biais non plus. Partant, ce grief doit être écarté.</w:t>
      </w:r>
    </w:p>
    <w:p>
      <w:r>
        <w:rPr>
          <w:b/>
        </w:rPr>
        <w:t>E. 27</w:t>
      </w:r>
    </w:p>
    <w:p>
      <w:r>
        <w:t>Les recourants invoquent ensuite une violation du principe de la proportionnalité. La pesée des intérêts aurait dû être faite en leur faveur, dès lors qu’ils avaient eu des frais importants pour mettre la maison aux standards HPE. Le refus d’autorisation n’était ni apte ni nécessaire pour réaliser les constructions futures.</w:t>
      </w:r>
    </w:p>
    <w:p>
      <w:r>
        <w:rPr>
          <w:b/>
        </w:rPr>
        <w:t>E. 28</w:t>
      </w:r>
    </w:p>
    <w:p>
      <w:r>
        <w:t>Le principe de la proportionnalité, garanti par l'art. 5 al. 2 de la Constitution fédérale de la Confédération suisse du 18 avril 1999 (Cst. - RS 101),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w:t>
      </w:r>
    </w:p>
    <w:p>
      <w:r>
        <w:rPr>
          <w:b/>
        </w:rPr>
        <w:t>E. 29</w:t>
      </w:r>
    </w:p>
    <w:p>
      <w:r>
        <w:t>En l’espèce, l’autorisation dérogatoire a été refusée dès lors que la première condition figurant à l’art. 59 al. 4 LCI n’était pas remplie. Les conditions légales n’étant pas remplies, l’autorisation ne peut être délivrée (art. 1 al. 6 LCI a contrario). Le PDCn 2030 a par ailleurs force obligatoire pour le département (art. 9 LAT). Dans ces conditions, l’argumentation des recourants selon laquelle le taux de 0.2 ne concernerait que les nouvelles constructions ne peut être suivie. La question des coûts engagés par les recourants en raison de la procédure d’autorisation de construire n’est ici pas pertinente et ne saurait être prise en compte, étant précisé qu’une pesée des intérêts, au vu de l’impossibilité de délivrer l’autorisation en raison de l’existence du PDCn 2030, n’a pas à être faite. Partant, leur grief sera également écarté.</w:t>
      </w:r>
    </w:p>
    <w:p>
      <w:r>
        <w:rPr>
          <w:b/>
        </w:rPr>
        <w:t>E. 30</w:t>
      </w:r>
    </w:p>
    <w:p>
      <w:r>
        <w:t>Les recourants considèrent que le principe de l’égalité de traitement aurait été violé par le département. Ils citent cinq exemples d’autres autorisations qu’ils considèrent comme similaires à leur cas à cet égard, et pour lesquelles la dérogation aurait été octroyée.</w:t>
      </w:r>
    </w:p>
    <w:p>
      <w:r>
        <w:t>- 16/18 - A/1621/2020</w:t>
      </w:r>
    </w:p>
    <w:p>
      <w:r>
        <w:rPr>
          <w:b/>
        </w:rPr>
        <w:t>E. 31</w:t>
      </w:r>
    </w:p>
    <w:p>
      <w:r>
        <w:t>Une décision viole le principe de l'égalité de traitement garanti par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131 I 1 consid. 4.2 p. 6-7 ; 129 I 346 consid. 6 pp. 357 ss ; 129 I 113 consid. 5.1 p. 125 ; Vincent MARTENET, Géométrie de l'égalité, Zürich-Bâle-Genève 2003, pp. 260 ss).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139 II 49 consid. 7.1 ; arrêt du Tribunal fédéral 1C_482/2010 du 14 avril 2011 consid. 5.1 ; ATA/352/2012 du 5 juin 2012 consid. 7).</w:t>
      </w:r>
    </w:p>
    <w:p>
      <w:r>
        <w:rPr>
          <w:b/>
        </w:rPr>
        <w:t>E. 32</w:t>
      </w:r>
    </w:p>
    <w:p>
      <w:r>
        <w:t>En l’espèce, les recourants citent le cas de cinq autres autorisations, qui seraient similaires à leur cas et pour lesquelles le département aurait octroyé la dérogation refusée en l’espèce. Ils précisent eux même que « ces projets concernant la construction de nouveaux logements soit dans la même zone protégée des rives de l’Arve, soit dans la zone grise PDCn 2030 ». S’agissant des DD 108'519, 110'114 et 108'032, si elles sont situées en zone de protection des rives de l’Arve, elles ne se trouvent pas dans une zone protégée de densité maximale 0.2 conformément au PDCn 2030. Les recourants ne démontrent d’ailleurs pas le contraire. S’agissant des DD 109'478 et 108'489, elles ont été délivrées en 2018, soit avant la mise à jour du PDCn 2030 et de ses annexes. Partant, les éléments de faits des diverses autorisations étant différents, un traitement juridique distinct se justifie également. En outre, il sera mentionné qu’il n’y a pas d’égalité dans l’illégalité, les conditions jurisprudentielles mentionnées</w:t>
      </w:r>
    </w:p>
    <w:p>
      <w:r>
        <w:t>- 17/18 - A/1621/2020 supra n’étant pas remplies. Dans ces conditions, ce grief doit également être écarté.</w:t>
      </w:r>
    </w:p>
    <w:p>
      <w:r>
        <w:rPr>
          <w:b/>
        </w:rPr>
        <w:t>E. 33</w:t>
      </w:r>
    </w:p>
    <w:p>
      <w:r>
        <w:t>Au vu de ce qui précède, mal fondé, le recours sera rejeté.</w:t>
      </w:r>
    </w:p>
    <w:p>
      <w:r>
        <w:rPr>
          <w:b/>
        </w:rPr>
        <w:t>E. 34</w:t>
      </w:r>
    </w:p>
    <w:p>
      <w:r>
        <w:t>En application des art. 87 al. 1 LPA et 1 et 2 du règlement sur les frais, émoluments et indemnités en procédure administrative du 30 juillet 1986 (RFPA - E 5 10.03), les recourants, qui succombent, sont condamnés, conjointement et solidairement, au paiement d’un émolument s'élevant à CHF 1’800.- ; il est partiellement couvert par l’avance de frais de CHF 900.-versée à la suite du dépôt du recours.</w:t>
      </w:r>
    </w:p>
    <w:p>
      <w:r>
        <w:rPr>
          <w:b/>
        </w:rPr>
        <w:t>E. 35</w:t>
      </w:r>
    </w:p>
    <w:p>
      <w:r>
        <w:t>Vu l’issue du litige, aucune indemnité de procédure ne sera allouée (art. 87 al. 2 LPA).</w:t>
      </w:r>
    </w:p>
    <w:p>
      <w:r>
        <w:t>- 18/18 - A/1621/2020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