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JTAPI/231/2025 vom 2. März 2025</w:t>
      </w:r>
    </w:p>
    <w:p>
      <w:r>
        <w:t>GE Cour de justice, 2025-03-02, FR</w:t>
      </w:r>
    </w:p>
    <w:p>
      <w:r>
        <w:rPr>
          <w:b/>
        </w:rPr>
        <w:t xml:space="preserve">Quelle: </w:t>
      </w:r>
      <w:r>
        <w:t>https://mcp.opencaselaw.ch/entscheid/ge_gerichte_JTAPI_231_2025</w:t>
      </w:r>
    </w:p>
    <w:p>
      <w:r>
        <w:t>FR: GE_GERICHTE JTAPI/231/2025 du 2 mars 2025</w:t>
      </w:r>
    </w:p>
    <w:p>
      <w:r>
        <w:t>IT: GE_GERICHTE JTAPI/231/2025 del 2 marzo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w:t>
      </w:r>
    </w:p>
    <w:p>
      <w:r>
        <w:t>- 7/9 - A/705/2025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même si les déclarations de Mme E______ et de M. A______ sont pour l’essentiel contradictoires, il ressort néanmoins clairement de ces dernières, que la situation entre eux et au sein de la famille est conflictuelle et tendue depuis plusieurs années. S’agissant des faits ayant conduit au prononcé de la mesure d’éloignement, l’échange d’insultes ainsi que l’intervention du père des précités afin de les séparer pour que le second n’agresse pas physiquement la première le 1er mars 2025 ont été confirmés par Mme C______ et M. B______, qui ont également indiqué que leur</w:t>
      </w:r>
    </w:p>
    <w:p>
      <w:r>
        <w:t>- 8/9 - A/705/2025 fils s’énervait - ce qui était arrivé le jour en question - et qu’il les agressait verbalement. En tout état, les faits tels que décrits par les parties correspondent pleinement à la notion de violence domestique au sens défini plus haut. La perpétration de violences par M. A______ ressort ainsi clairement des déclarations de toutes les parties et du rapport de police du 2 mars 2025. Elles sont perpétrées régulièrement depuis de nombreuses années. Lors de l’audience, le tribunal a par ailleurs pu constater que M. A______ ne semblait pas saisir la gravité de son comportement et ses conséquences sur autrui, expliquant agir de la sorte car ses sœurs faisaient tout pour le provoquer. Il ne s’est de plus pas conformé à la décision prise à son encontre, n’ayant rien entrepris en vue de l’entretien VIRES – dont il ne voyait pas l’utilité - et contactant ses parents bien que cela lui avait été interdit. Il s’est également montré peu respectueux du tribunal et des autres parties à la procédure, en audience. Dans ces circonstances, la perspective que les parties se retrouvent immédiatement sous le même toit apparaît inopportune, quand bien même il est évident qu'une mesure d'éloignement administrative ne permettra pas, à elle seule, de régler la situation. Par conséquent, l'opposition sera rejetée et la mesure d'éloignement confirmée dans son principe et sa durée, le maintien d’une période d’éloignement apparaissant en effet nécessaire pour que les parties s’apaisent et réfléchissent à la situation dans laquelle ils se trouvent, à leurs difficultés et à la manière dont leur vie sous le même toit va reprendre.</w:t>
      </w:r>
    </w:p>
    <w:p>
      <w:r>
        <w:rPr>
          <w:b/>
        </w:rPr>
        <w:t>E. 6</w:t>
      </w:r>
    </w:p>
    <w:p>
      <w:r>
        <w:t>Enfin, il sera rappelé que M. A______ pourra, le cas échéant, venir chercher dans l'appartement familial, ses effets personnels, accompagné de la police.</w:t>
      </w:r>
    </w:p>
    <w:p>
      <w:r>
        <w:rPr>
          <w:b/>
        </w:rPr>
        <w:t>E. 7</w:t>
      </w:r>
    </w:p>
    <w:p>
      <w:r>
        <w:t>Il ne sera pas perçu d'émolument (art. 87 al. 1 LPA).</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- 9/9 - A/705/2025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