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JTAPI/22/2023 vom 12. Januar 2023</w:t>
      </w:r>
    </w:p>
    <w:p>
      <w:r>
        <w:t>GE Cour de justice, 2023-01-12, FR</w:t>
      </w:r>
    </w:p>
    <w:p>
      <w:r>
        <w:rPr>
          <w:b/>
        </w:rPr>
        <w:t xml:space="preserve">Quelle: </w:t>
      </w:r>
      <w:r>
        <w:t>https://mcp.opencaselaw.ch/entscheid/ge_gerichte_JTAPI_22_2023</w:t>
      </w:r>
    </w:p>
    <w:p>
      <w:r>
        <w:t>FR: GE_GERICHTE JTAPI/22/2023 du 12 janvier 2023</w:t>
      </w:r>
    </w:p>
    <w:p>
      <w:r>
        <w:t>IT: GE_GERICHTE JTAPI/22/2023 del 12 gennaio 2023</w:t>
      </w:r>
    </w:p>
    <w:p>
      <w:pPr>
        <w:pStyle w:val="Heading2"/>
      </w:pPr>
      <w:r>
        <w:t>Erwägungen</w:t>
      </w:r>
    </w:p>
    <w:p>
      <w:r>
        <w:rPr>
          <w:b/>
        </w:rPr>
        <w:t>E. 19</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logique et inéluctable du rejet d’une demande d’autorisation (cf. arrêts du Tribunal administratif fédéral C-5268/2008 du 1er juin 2011 consid. 10 ; C-406/2006 du 2 septembre 2008 consid. 8 et la référence citée ; ATA/1118/2020 du 10 novembre 2020 consid. 11a ; ATA/991/2020 du 6 octobre 2020 consid. 6b).</w:t>
      </w:r>
    </w:p>
    <w:p>
      <w:r>
        <w:rPr>
          <w:b/>
        </w:rPr>
        <w:t>E. 20</w:t>
      </w:r>
    </w:p>
    <w:p>
      <w:r>
        <w:t>Le renvoi d'un étranger ne peut toutefois être ordonné que si l'exécution de celui- ci est possible, licite ou peut être raisonnablement exigée (art. 83 al. 1 LEI). L'exécution du renvoi n'est pas raisonnablement exigible si elle met concrètement en danger l'étranger, par exemple en cas de guerre, de guerre civile, de violence généralisée ou de nécessité médicale (art. 83 al. 4 LEI).</w:t>
      </w:r>
    </w:p>
    <w:p>
      <w:r>
        <w:rPr>
          <w:b/>
        </w:rPr>
        <w:t>E. 21</w:t>
      </w:r>
    </w:p>
    <w:p>
      <w:r>
        <w:t>En l’occurrence, dès lors qu’il a refusé de délivrer des autorisations de séjour à la recourante et à son fils, l’OCPM devait en soi ordonner leur renvoi de Suisse en application de l’art. 64 al. 1 let. c LEI. Rien ne permet au surplus de retenir que l'exécution dudit renvoi ne serait pas possible, licite ou raisonnement exigible au sens de l’art. 83 LEI. La décision de l’OCPM apparait également conforme au droit sur ce point.</w:t>
      </w:r>
    </w:p>
    <w:p>
      <w:r>
        <w:rPr>
          <w:b/>
        </w:rPr>
        <w:t>E. 22</w:t>
      </w:r>
    </w:p>
    <w:p>
      <w:r>
        <w:t>Au vu de ce qui précède, mal fondé, le recours doit donc être rejeté.</w:t>
      </w:r>
    </w:p>
    <w:p>
      <w:r>
        <w:rPr>
          <w:b/>
        </w:rPr>
        <w:t>E. 23</w:t>
      </w:r>
    </w:p>
    <w:p>
      <w:r>
        <w:t>En application des art. 87 al. 1 LPA et 1 et 2 du règlement sur les frais, émoluments et indemnités en procédure administrative du 30 juillet 1986 (RFPA - E 5 10.03), la recourante, qui succombe, est condamnée au paiement d’un émolument s’élevant à CHF 500.-. il est couvert par l’avance de frais versée à la suite du dépôt du recours.</w:t>
      </w:r>
    </w:p>
    <w:p>
      <w:r>
        <w:rPr>
          <w:b/>
        </w:rPr>
        <w:t>E. 24</w:t>
      </w:r>
    </w:p>
    <w:p>
      <w:r>
        <w:t>Vu l’issue du litige, aucune indemnité de procédure ne sera allouée (art. 87 al. 2 LPA).</w:t>
      </w:r>
    </w:p>
    <w:p>
      <w:r>
        <w:rPr>
          <w:b/>
        </w:rPr>
        <w:t>E. 25</w:t>
      </w:r>
    </w:p>
    <w:p>
      <w:r>
        <w:t>En vertu des art. 89 al. 2 et 111 al. 2 de la loi sur le Tribunal fédéral du 17 juin 2005 (LTF - RS 173.110), le présent jugement sera communiqué au SEM.</w:t>
      </w:r>
    </w:p>
    <w:p>
      <w:r>
        <w:t>- 13/13 - A/2737/2022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