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JTAPI/227/2025 vom 21. Februar 2025</w:t>
      </w:r>
    </w:p>
    <w:p>
      <w:r>
        <w:t>GE Cour de justice, 2025-02-21, FR</w:t>
      </w:r>
    </w:p>
    <w:p>
      <w:r>
        <w:rPr>
          <w:b/>
        </w:rPr>
        <w:t xml:space="preserve">Quelle: </w:t>
      </w:r>
      <w:r>
        <w:t>https://mcp.opencaselaw.ch/entscheid/ge_gerichte_JTAPI_227_2025</w:t>
      </w:r>
    </w:p>
    <w:p>
      <w:r>
        <w:t>FR: GE_GERICHTE JTAPI/227/2025 du 21 février 2025</w:t>
      </w:r>
    </w:p>
    <w:p>
      <w:r>
        <w:t>IT: GE_GERICHTE JTAPI/227/2025 del 21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w:t>
      </w:r>
    </w:p>
    <w:p>
      <w:r>
        <w:rPr>
          <w:b/>
        </w:rPr>
        <w:t>E. 4</w:t>
      </w:r>
    </w:p>
    <w:p>
      <w:r>
        <w:t>Cela étant, aux termes de l’art. 60 al. 1 let. b de la loi sur la procédure administrative du 12 septembre 1985 (LPA-GE - E 5 10), a qualité pour recourir toute personne touchée directement par une décision et qui a un intérêt personnel digne de protection à ce qu’elle soit annulée ou modifiée. A cela s'ajoute que selon l'art. 7 LPA, au-delà des personnes qui disposent d'un moyen de droit contre une décision, ont également qualité de partie les personnes dont les droits ou les obligations pourraient être touchés par la décision à prendre. Le fait que, selon sa lettre, cette disposition concerne la situation procédurale qui précède la prise de décision, ne</w:t>
      </w:r>
    </w:p>
    <w:p>
      <w:r>
        <w:t>- 4/7 - A/693/2025 change rien à la qualité de partie octroyée sur la base de l'atteinte potentielle aux droits et obligations que cette décision est susceptible de faire peser sur d'autres personnes que les destinataires directs de la décision.</w:t>
      </w:r>
    </w:p>
    <w:p>
      <w:r>
        <w:rPr>
          <w:b/>
        </w:rPr>
        <w:t>E. 5</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w:t>
      </w:r>
    </w:p>
    <w:p>
      <w:r>
        <w:rPr>
          <w:b/>
        </w:rPr>
        <w:t>E. 6</w:t>
      </w:r>
    </w:p>
    <w:p>
      <w:r>
        <w:t>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rPr>
          <w:b/>
        </w:rPr>
        <w:t>E. 7</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8</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w:t>
      </w:r>
    </w:p>
    <w:p>
      <w:r>
        <w:t>- 5/7 - A/693/2025 du Tribunal fédéral 2C_282/2017 du 4 décembre 2017 consid. 2.1 et les références citées).</w:t>
      </w:r>
    </w:p>
    <w:p>
      <w:r>
        <w:rPr>
          <w:b/>
        </w:rPr>
        <w:t>E. 9</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w:t>
      </w:r>
    </w:p>
    <w:p>
      <w:r>
        <w:rPr>
          <w:b/>
        </w:rPr>
        <w:t>E. 10</w:t>
      </w:r>
    </w:p>
    <w:p>
      <w:r>
        <w:t>Ainsi, il convient de reconnaître la qualité pour recourir de Mme B______, la décision litigieuse portant atteinte à sa vie privée au sens de l'art. 8 §1 CEDH.</w:t>
      </w:r>
    </w:p>
    <w:p>
      <w:r>
        <w:rPr>
          <w:b/>
        </w:rPr>
        <w:t>E. 11</w:t>
      </w:r>
    </w:p>
    <w:p>
      <w:r>
        <w:t>La LVD a pour but de contribuer à la protection de la personnalité dans le cadre familial et domestique en soutenant et en renforçant les efforts de lutte contre les violences domestiques (art. 1 al. 1 LVD).</w:t>
      </w:r>
    </w:p>
    <w:p>
      <w:r>
        <w:rPr>
          <w:b/>
        </w:rPr>
        <w:t>E. 12</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rPr>
          <w:b/>
        </w:rPr>
        <w:t>E. 13</w:t>
      </w:r>
    </w:p>
    <w:p>
      <w:r>
        <w:t>Par « personnes concernées par les violences domestiques », la loi vise notamment les victimes et les auteurs de violences domestiques, les proches de ces personnes ainsi que les professionnels du domaine (art. 2 al. 2 LVD).</w:t>
      </w:r>
    </w:p>
    <w:p>
      <w:r>
        <w:rPr>
          <w:b/>
        </w:rPr>
        <w:t>E. 14</w:t>
      </w:r>
    </w:p>
    <w:p>
      <w:r>
        <w:t>Selon l'art. 8 al. 1 LVD, la police peut prononcer une mesure d'éloignement à l'encontre de l'auteur présumé d'actes de violence domestique, si la mesure paraît propre à empêcher la réitération de tels actes.</w:t>
      </w:r>
    </w:p>
    <w:p>
      <w:r>
        <w:rPr>
          <w:b/>
        </w:rPr>
        <w:t>E. 15</w:t>
      </w:r>
    </w:p>
    <w:p>
      <w:r>
        <w:t>Selon l'art. 8 al. 2 LVD, une mesure d'éloignement consiste à interdire à l'auteur présumé de a) pénétrer dans un secteur ou dans des lieux déterminés ; b) contacter ou approcher une ou plusieurs personnes.</w:t>
      </w:r>
    </w:p>
    <w:p>
      <w:r>
        <w:rPr>
          <w:b/>
        </w:rPr>
        <w:t>E. 16</w:t>
      </w:r>
    </w:p>
    <w:p>
      <w:r>
        <w:t>La mesure d'éloignement est prononcée pour une durée de dix jours au moins et de trente jours au plus (art. 8 al. 3 LVD).</w:t>
      </w:r>
    </w:p>
    <w:p>
      <w:r>
        <w:rPr>
          <w:b/>
        </w:rPr>
        <w:t>E. 17</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rPr>
          <w:b/>
        </w:rPr>
        <w:t>E. 18</w:t>
      </w:r>
    </w:p>
    <w:p>
      <w:r>
        <w:t>Ainsi que cela résulte des principes rappelés ci-dessus, les violences à l'origine de la mesure d'éloignement n'ont pas à être prouvées. Il suffit que l'on puisse présumer,</w:t>
      </w:r>
    </w:p>
    <w:p>
      <w:r>
        <w:t>- 6/7 - A/693/2025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19</w:t>
      </w:r>
    </w:p>
    <w:p>
      <w:r>
        <w:t>Le pouvoir d'examen du tribunal de céans s'étend à l'opportunité de la mesure (art. 11 al. 3 LVD).</w:t>
      </w:r>
    </w:p>
    <w:p>
      <w:r>
        <w:rPr>
          <w:b/>
        </w:rPr>
        <w:t>E. 20</w:t>
      </w:r>
    </w:p>
    <w:p>
      <w:r>
        <w:t>En l'espèce, les faits reprochés à M. A______ correspondent à la notion de violences domestiques au sens défini par la loi. A ce stade, la question n'est pas de savoir lequel des intéressés est plus responsable que l'autre de la situation, ce qui est bien souvent impossible à établir. L'essentiel est de séparer les intéressés en étant au moins à peu près certain que celui qui est éloigné du domicile est lui aussi l'auteur de violences, lesquelles peuvent également être psychologiques. Dans ces circonstances, vu en particulier le caractère récent des événements, la perspective que les époux A______ et B______ se retrouvent sous le même toit apparaît inopportune.</w:t>
      </w:r>
    </w:p>
    <w:p>
      <w:r>
        <w:rPr>
          <w:b/>
        </w:rPr>
        <w:t>E. 21</w:t>
      </w:r>
    </w:p>
    <w:p>
      <w:r>
        <w:t>Par conséquent, l'opposition sera rejetée et la mesure d'éloignement confirmée dans son principe et sa durée</w:t>
      </w:r>
    </w:p>
    <w:p>
      <w:r>
        <w:rPr>
          <w:b/>
        </w:rPr>
        <w:t>E. 22</w:t>
      </w:r>
    </w:p>
    <w:p>
      <w:r>
        <w:t>Il ne sera pas perçu d'émolument (art. 87 al. 1 LPA).</w:t>
      </w:r>
    </w:p>
    <w:p>
      <w:r>
        <w:rPr>
          <w:b/>
        </w:rPr>
        <w:t>E. 23</w:t>
      </w:r>
    </w:p>
    <w:p>
      <w:r>
        <w:t>Un éventuel recours déposé contre le présent jugement n'aura pas d'effet suspensif (art. 11 al. 1 LVD ; rapport rendu le 1er juin 2010 par la commission judiciaire et de la police chargée d'étudier le PL 10582, p. 17).</w:t>
      </w:r>
    </w:p>
    <w:p>
      <w:r>
        <w:t>- 7/7 - A/693/2025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