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JTAPI/225/2025 vom 3. März 2025</w:t>
      </w:r>
    </w:p>
    <w:p>
      <w:r>
        <w:t>GE Cour de justice, 2025-03-03, FR</w:t>
      </w:r>
    </w:p>
    <w:p>
      <w:r>
        <w:rPr>
          <w:b/>
        </w:rPr>
        <w:t xml:space="preserve">Quelle: </w:t>
      </w:r>
      <w:r>
        <w:t>https://mcp.opencaselaw.ch/entscheid/ge_gerichte_JTAPI_225_2025</w:t>
      </w:r>
    </w:p>
    <w:p>
      <w:r>
        <w:t>FR: GE_GERICHTE JTAPI/225/2025 du 3 mars 2025</w:t>
      </w:r>
    </w:p>
    <w:p>
      <w:r>
        <w:t>IT: GE_GERICHTE JTAPI/225/2025 del 3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- 5/15 - A/3287/2024</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4.2</w:t>
      </w:r>
    </w:p>
    <w:p>
      <w:r>
        <w:t>; 139 IV 179 consid. 2.2 ; 138 I 232 consid. 5.1). Il n'y a ainsi violation du droit d'être entendu que si l'autorité ne satisfait pas à son devoir minimum d'examiner et de traiter les problèmes objectivement pertinents (ATF 139 IV 179 consid. 2.2 ; ATF 134 I 83 consid. 4.1 ; arrêts du Tribunal fédéral 2C_72/2020 du 1er mai 2020 consid. 3.3.1 ; 2C_56/2015 du 13 mai 2015 consid. 2.1).</w:t>
      </w:r>
    </w:p>
    <w:p>
      <w:r>
        <w:t>- 6/15 - A/3287/2024</w:t>
      </w:r>
    </w:p>
    <w:p>
      <w:r>
        <w:rPr>
          <w:b/>
        </w:rPr>
        <w:t>E. 7</w:t>
      </w:r>
    </w:p>
    <w:p>
      <w:r>
        <w:t>Préalablement, les recourants sollicitent leur audition. Dans un grief d’ordre formel qu’il convient d’examiner en premier lieu, ils se plaignent par ailleurs d’une violation de leur droit d’être entendu par l’OCPM dès lors que cet office n’aurait pas tenu compte, malgré les justificatifs produits, des éléments qu’ils avaient fait valoir dans leur demande d’autorisation ni n’aurait procédé à leur audition avant de rendre sa décision.</w:t>
      </w:r>
    </w:p>
    <w:p>
      <w:r>
        <w:rPr>
          <w:b/>
        </w:rPr>
        <w:t>E. 8</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Par ailleurs, il ne confère pas le droit d'être entendu oralement, ni celui d'obtenir l'audition de témoins (art. 41 in fine LPA ; ATF 134 I 140 consid. 5.3 ; arrêt du Tribunal fédéral 2C_901/2014 du 27 janvier 2015 consid. 3). Le droit d'être entendu implique aussi,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w:t>
      </w:r>
    </w:p>
    <w:p>
      <w:r>
        <w:rPr>
          <w:b/>
        </w:rPr>
        <w:t>E. 9</w:t>
      </w:r>
    </w:p>
    <w:p>
      <w:r>
        <w:t>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 ; ATA/1108/2019 du 27 juin 2019 consid. 4c et les arrêts cités).</w:t>
      </w:r>
    </w:p>
    <w:p>
      <w:r>
        <w:rPr>
          <w:b/>
        </w:rPr>
        <w:t>E. 10</w:t>
      </w:r>
    </w:p>
    <w:p>
      <w:r>
        <w:t>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2018, n° 1528 ss, p. 509 s ; ATA/277/2021 du 2 mars 2021 consid. 5c ; ATA/523/2016 du 21 juin 2016 consid. 2b).</w:t>
      </w:r>
    </w:p>
    <w:p>
      <w:r>
        <w:rPr>
          <w:b/>
        </w:rPr>
        <w:t>E. 11</w:t>
      </w:r>
    </w:p>
    <w:p>
      <w:r>
        <w:t>En l’espèce, les recourants ont eu l'occasion de s'exprimer par écrit à plusieurs reprises durant la procédure, d'exposer leur point de vue et de produire toutes les pièces qu'ils estimaient utiles à l'appui de leurs allégués. L'autorité intimée a également répondu à leurs écritures, se prononçant sur les griefs qu'elle estimait pertinents pour l'issue du litige et les recourants ont eu l'occasion de répliquer. Le dossier comporte ainsi suffisamment d'éléments permettant au tribunal de trancher le litige, de sorte qu'il n'y a pas lieu de donner suite à leur demande d’audition devant lui. Il ressort pour le surplus du dossier qu’avant de rendre la décision litigieuse, l’autorité intimée a informé les recourants de son intention de rejeter leur demande d’autorisation de séjour et de prononcer leur renvoi, précisant les motifs qui l’y conduisaient, tout en leur impartissant un délai pour exercer leur droit d’être entendu, dont les recourants ont usé le 16 juillet 2024. Dans la décision litigieuse, l’OCPM rappelle enfin les conditions d’octroi d’une autorisation de séjour pour cas individuel d’une extrême gravité et les motifs pour lesquels il considère que les recourants ne les remplissent pas. Il a également examiné la situation de la mineure C______. Ces éléments ont d’ailleurs permis aux recourants de dûment motiver</w:t>
      </w:r>
    </w:p>
    <w:p>
      <w:r>
        <w:t>- 7/15 - A/3287/2024 leur recours. Comme rappelé ci-dessus, l’autorité intimée a ensuite pris connaissance du recours et des griefs des recourants et y a répondu dans ses observations du 3 décembre 2024. Même si elle ne s’est pas expressément déterminée sur chacune des pièces, respectivement chacun des arguments développés par les recourants, elle en a manifestement eu connaissance et tenu compte dans la décision litigieuse. Aucune violation du droit d’être entendu n’est ainsi à déplorer. Ce grief sera donc écarté.</w:t>
      </w:r>
    </w:p>
    <w:p>
      <w:r>
        <w:rPr>
          <w:b/>
        </w:rPr>
        <w:t>E. 12</w:t>
      </w:r>
    </w:p>
    <w:p>
      <w:r>
        <w:t>Les recourants concluent principalement à la délivrance d’une autorisation de séjour pour cas de rigueur. Ils invoquent également les art. 8 CEDH et 3 CDE.</w:t>
      </w:r>
    </w:p>
    <w:p>
      <w:r>
        <w:rPr>
          <w:b/>
        </w:rPr>
        <w:t>E. 13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brésiliens.</w:t>
      </w:r>
    </w:p>
    <w:p>
      <w:r>
        <w:rPr>
          <w:b/>
        </w:rPr>
        <w:t>E. 14</w:t>
      </w:r>
    </w:p>
    <w:p>
      <w:r>
        <w:t>Selon l'art. 30 al. 1 let. b LEI, il est possible de déroger aux conditions d'admission d'un étranger en Suisse pour tenir compte d'un cas individuel d'une extrême gravité.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16</w:t>
      </w:r>
    </w:p>
    <w:p>
      <w:r>
        <w:t>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w:t>
      </w:r>
    </w:p>
    <w:p>
      <w:r>
        <w:t>- 8/15 - A/3287/2024 du cas de rigueur exposé ci-dessus] » ; cf. communiqué de presse du 21 février 2017 accessible sur Internet à l’adresse suivante : https://www.ge.ch/actualite/operation- papyrus-presentee-aux-medias-21-02-2017). Elle a pris fin le 31 décembre 2018 (ATA/121/2021 du 2 février 2021 consid. 8a).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w:t>
      </w:r>
    </w:p>
    <w:p>
      <w:r>
        <w:rPr>
          <w:b/>
        </w:rPr>
        <w:t>E. 17</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18</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w:t>
      </w:r>
    </w:p>
    <w:p>
      <w:r>
        <w:t>- 9/15 - A/3287/2024 consid. 5.2 ; arrêt du Tribunal administratif fédéral F-4206/2021 du 24 novembre 2022 consid. 5.4).</w:t>
      </w:r>
    </w:p>
    <w:p>
      <w:r>
        <w:rPr>
          <w:b/>
        </w:rPr>
        <w:t>E. 19</w:t>
      </w:r>
    </w:p>
    <w:p>
      <w:r>
        <w:t>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20</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w:t>
      </w:r>
    </w:p>
    <w:p>
      <w:r>
        <w:t>- 10/15 - A/3287/2024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C- 2379/2013 du 14 décembre 2015 consid. 9.2).</w:t>
      </w:r>
    </w:p>
    <w:p>
      <w:r>
        <w:rPr>
          <w:b/>
        </w:rPr>
        <w:t>E. 21</w:t>
      </w:r>
    </w:p>
    <w:p>
      <w:r>
        <w:t>Les enfants mineurs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(SEM, Directives et commentaires, Domaine des étrangers, 2013 – état au 1er avril 2024 [ci-après : directives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Sous l'angle du cas de rigueur, le Tribunal fédéral a considéré que cette pratique différenciée réalisait la prise en compte de l'intérêt supérieur de l'enfant, telle qu'elle est prescrite par l'art. 3 al. 1 CDE (arrêt du Tribunal fédéral 2A.679/2006 du 9 février 2007 consid. 3 ; ATA/434/2020 du 31 avril 2020 consid. 10).</w:t>
      </w:r>
    </w:p>
    <w:p>
      <w:r>
        <w:rPr>
          <w:b/>
        </w:rPr>
        <w:t>E. 22</w:t>
      </w:r>
    </w:p>
    <w:p>
      <w:r>
        <w:t>Selon la jurisprudence, 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w:t>
      </w:r>
    </w:p>
    <w:p>
      <w:r>
        <w:t>- 11/15 - A/3287/2024 d’un droit de présence assuré en Suisse, par exemple en raison d’un handicap - physique ou mental - ou d’une maladie grave dont il souffrirait (ATF 144 II 1 consid. 6.1 ; arrêt du Tribunal fédéral 2D_22/2023 du 9 janvier 2024 consid. 1.2.1).</w:t>
      </w:r>
    </w:p>
    <w:p>
      <w:r>
        <w:rPr>
          <w:b/>
        </w:rPr>
        <w:t>E. 23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w:t>
      </w:r>
    </w:p>
    <w:p>
      <w:r>
        <w:rPr>
          <w:b/>
        </w:rPr>
        <w:t>E. 24</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25</w:t>
      </w:r>
    </w:p>
    <w:p>
      <w:r>
        <w:t>En l'espèce, les recourants sont arrivés en Suisse en mai et octobre 2016, soit il y a plus de huit ans. Ils y ont toujours séjourné de manière illégale. Dès lors, la durée de leur séjour en Suisse ne saurait être déterminante. Il n’en va pas différemment pour leur fille, née à Genève en mai 2022 et qui y réside donc depuis moins de trois ans. Par ailleurs, leur intégration socioprofessionnelle, certes louable, ne peut être qualifiée d’exceptionnelle. Ils n'ont pas non plus établi avoir noué avec la Suisse des liens si profonds que l'on ne pourrait raisonnablement exiger d'eux qu'ils mettent un terme à leur séjour sur le sol helvétique. A cet égard, c'est le lieu de relever que le fait de travailler pour ne pas dépendre de l’aide sociale, de s’exprimer dans la langue du pays, de ne pas avoir de poursuites et d’éviter de commettre des actes répréhensibles constitue un comportement ordinaire qui peut être attendu de tout étranger souhaitant obtenir la régularisation de ses conditions de séjour. Il ne s’agit pas là de circonstances exceptionnelles permettant à elles seules de retenir</w:t>
      </w:r>
    </w:p>
    <w:p>
      <w:r>
        <w:t>- 12/15 - A/3287/2024 l’existence d’une intégration particulièrement marquée, susceptible de justifier la reconnaissance d’un cas de rigueur. Arrivés à Genève à l’âge de 27 et 35 ans, les recourants ont passé leur enfance et adolescence, périodes décisives pour la formation de la personnalité, ainsi que la majeure partie de leur vie d’adulte au Brésil où vivent vraisemblablement encore des membres de leur famille, vu leur demande de visa. S'agissant de C______, elle est née à Genève et âgée de deux ans. Au vu de son jeune âge, force est d’admettre qu’elle dépend intégralement des recourants et ne saurait se prévaloir de difficultés de réintégration dans un autre pays, ce d’autant si son départ a lieu en compagnie de ses parents. Ainsi, un renvoi au Brésil ne saurait présenter des difficultés de réintégration insurmontables pour cette enfant, qui n’est, en tout état, pas encore scolarisée, même si elle est inscrite dans une école de musique. Ainsi, ni l'âge des recourants, ni la durée de leur séjour sur le territoire suisse, ni encore les inconvénients d'ordre socio-professionnel auxquels ils pourraient éventuellement être confrontés en retournant dans leur pays d'origine ne suffisent à considérer qu'ils se trouveraient dans une situation de détresse personnelle donnant droit à l'octroi d'une autorisation de séjour pour cas de rigueur. Il faut rappeler à ce titre que l'octroi d'une telle autorisation constitue une exception aux mesure de limitation, exception qui n'a pas pour but de soustraire des étrangers aux conditions de vie de leur pays d'origine mais implique que ceux-ci se trouvent personnellement dans une situation si rigoureuse que l'on ne saurait exiger d'eux qu'ils tentent de se réadapter à leur existence passée, ce que les recourants n'ont pas réussi à démontrer. L’art. 8 CEDH ne leur est enfin d’aucun secours, les intéressés n’ayant pas séjourné légalement en Suisse pendant au moins dix ans ni ne pouvant se prévaloir d’une forte intégration. De plus, ils ne peuvent se prévaloir d’un droit au respect de la vie familiale puisque la mesure litigieuse n’a pas pour effet de séparer leur famille, tous les membres de celle-ci étant appelés à quitter la Suisse. Compte-tenu de ce qui précède, il apparaît que l'OCPM n'a violé ni le droit conventionnel, ni le droit fédéral, ni encore excédé ou abusé de son pouvoir d'appréciation en rejetant la requête des recourants.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26</w:t>
      </w:r>
    </w:p>
    <w:p>
      <w:r>
        <w:t>Subsidiairement, les recourants requièrent leur admission provisoire.</w:t>
      </w:r>
    </w:p>
    <w:p>
      <w:r>
        <w:rPr>
          <w:b/>
        </w:rPr>
        <w:t>E. 27</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t>- 13/15 - A/3287/2024</w:t>
      </w:r>
    </w:p>
    <w:p>
      <w:r>
        <w:rPr>
          <w:b/>
        </w:rPr>
        <w:t>E. 28</w:t>
      </w:r>
    </w:p>
    <w:p>
      <w:r>
        <w:t>Le renvoi d'un étranger ne peut toutefois être ordonné que si l'exécution de celui-ci est possible, licite ou peut être raisonnablement exigée (art. 83 al. 1 LEI).</w:t>
      </w:r>
    </w:p>
    <w:p>
      <w:r>
        <w:rPr>
          <w:b/>
        </w:rPr>
        <w:t>E. 29</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30</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31</w:t>
      </w:r>
    </w:p>
    <w:p>
      <w:r>
        <w:t>En l'espèce, les recourants n'obtenant pas d'autorisations de séjour, c'est à bon droit que l'autorité intimée a prononcé leur renvoi de Suisse. Au surplus, l’exécution de cette mesure paraît possible, licite et raisonnablement exigible, aucune pièce du dossier ne permettant de retenir qu’un retour au Brésil les exposerait à une mise en danger concrète, de sorte que l’OCPM n’avait pas à proposer leur admission provisoire au SEM.</w:t>
      </w:r>
    </w:p>
    <w:p>
      <w:r>
        <w:rPr>
          <w:b/>
        </w:rPr>
        <w:t>E. 32</w:t>
      </w:r>
    </w:p>
    <w:p>
      <w:r>
        <w:t>Ne reposant sur aucun motif valable, le recours sera rejeté et la décision de l’OCPM confirmée.</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w:t>
      </w:r>
    </w:p>
    <w:p>
      <w:r>
        <w:t>- 14/15 - A/3287/2024 condamnés au paiement d’un émolument s'élevant à CHF 500.- ; il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- 15/15 - A/3287/2024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