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JTAPI/221/2025 vom 25. Januar 2024</w:t>
      </w:r>
    </w:p>
    <w:p>
      <w:r>
        <w:t>GE Cour de justice, 2024-01-25, FR</w:t>
      </w:r>
    </w:p>
    <w:p>
      <w:r>
        <w:rPr>
          <w:b/>
        </w:rPr>
        <w:t xml:space="preserve">Quelle: </w:t>
      </w:r>
      <w:r>
        <w:t>https://mcp.opencaselaw.ch/entscheid/ge_gerichte_JTAPI_221_2025</w:t>
      </w:r>
    </w:p>
    <w:p>
      <w:r>
        <w:t>FR: GE_GERICHTE JTAPI/221/2025 du 25 janvier 2024</w:t>
      </w:r>
    </w:p>
    <w:p>
      <w:r>
        <w:t>IT: GE_GERICHTE JTAPI/221/2025 del 25 gennaio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La recourante conclut à l’octroi du barème parental (en IFD), respectivement du splitting (en ICC).</w:t>
      </w:r>
    </w:p>
    <w:p>
      <w:r>
        <w:rPr>
          <w:b/>
        </w:rPr>
        <w:t>E. 4</w:t>
      </w:r>
    </w:p>
    <w:p>
      <w:r>
        <w:t>L’art. 36 al. 2 LIFD prévoit un barème d’imposition réduit pour les époux vivant en ménage commun, tandis que le barème ordinaire, fixé par l’art. 36 al. 1 LIFD est applicable aux autres contribuables. À teneur de l’art. 36 al. 2bis LIFD (barème parental), l’al. 2 s’applique par analogie aux époux vivant en ménage commun et aux contribuables veufs, séparés, divorcés ou célibataires qui vivent en ménage commun avec des enfants ou des personnes nécessiteuses dont ils assument pour l’essentiel l’entretien. Le montant de l’impôt ainsi fixé est réduit de CHF 251.- par enfant et par personne nécessiteuse.</w:t>
      </w:r>
    </w:p>
    <w:p>
      <w:r>
        <w:rPr>
          <w:b/>
        </w:rPr>
        <w:t>E. 5</w:t>
      </w:r>
    </w:p>
    <w:p>
      <w:r>
        <w:t>Le 21 décembre 2010, l’administration fédérale des contributions a émis la circulaire n° 30 relative à l’imposition des époux et de la famille selon la LIFD. Celle-ci prévoit que pour les parents séparés, divorcés ou non mariés qui ont chacun leur propre ménage sans versement d’une contribution d’entretien, il faut</w:t>
      </w:r>
    </w:p>
    <w:p>
      <w:r>
        <w:t>- 5/9 - A/2213/2024 distinguer, pour attribuer le barème parental, selon que les parents exercent l’autorité parentale en commun ou non. Si seul l’un des parents détient l’autorité parentale, il faut partir de l’idée qu’il pourvoit à l’essentiel de l’entretien de l’enfant et qu’il a droit à l’application du barème parental. En cas d’autorité parentale commune, le parent qui vit avec l’enfant et assure l’essentiel de son entretien est imposé selon le barème parental. L’autre parent est imposé selon le barème de base. En cas de garde alternée, le parent qui assure l’essentiel de l’entretien de l’enfant (c’est-à-dire en général celui qui a le revenu net le plus élevé) est imposé selon le barème parental. L’autre parent est imposé selon le barème de base.</w:t>
      </w:r>
    </w:p>
    <w:p>
      <w:r>
        <w:rPr>
          <w:b/>
        </w:rPr>
        <w:t>E. 6</w:t>
      </w:r>
    </w:p>
    <w:p>
      <w:r>
        <w:t>En droit cantonal, l’art. 41 al. l de la loi genevoise sur l’imposition des personnes physiques du 27 septembre 2009 (LIPP - D 3 08) fixe le taux de l’impôt cantonal selon le revenu déterminant du contribuable. L’art. 41 al. 2 LIPP instaure le splitting pour les époux vivant en ménage commun, le taux appliqué à leur revenu est celui qui correspond à 50 % de ce dernier. Ce taux réduit est également applicable aux contribuables célibataires, veufs, divorcés, séparés de corps ou de fait, qui font ménage commun avec leurs enfants mineurs ou majeurs ou un proche qui constituent des charges de famille, au sens de l’art. 39 al. 2 LIPP, et dont ils assurent pour l’essentiel l’entretien (art. 41 al. 3 LIPP). Constituent notamment des charges de famille chaque enfant mineur sans activité lucrative ou dont le gain annuel ne dépasse pas CHF 15'557.- (charge entière) ou CHF 23'335.- (demi-charge), pour celui des parents qui en assure l’entretien (art. 39 al. 2 let. a LIPP)</w:t>
      </w:r>
    </w:p>
    <w:p>
      <w:r>
        <w:rPr>
          <w:b/>
        </w:rPr>
        <w:t>E. 7</w:t>
      </w:r>
    </w:p>
    <w:p>
      <w:r>
        <w:t>Le 16 février 2011, l’AFC-GE a émis l’information fiscale n° 2/2011, valable dès l’année 2010, relative à l’imposition de la famille.</w:t>
      </w:r>
    </w:p>
    <w:p>
      <w:r>
        <w:t>Cette information fiscale retient, en son ch. 2.1, que peuvent notamment bénéficier du splitting, les partenaires enregistrés ainsi que les contribuables célibataires veufs, divorcés, séparés de corps ou de fait qui font ménage commun avec leurs enfants mineurs ou majeurs ou un proche qui constituent des charges de famille et qui en assurent pour l'essentiel l'entretien.</w:t>
      </w:r>
    </w:p>
    <w:p>
      <w:r>
        <w:t>Lorsqu'il n'y a pas de versement d'une pension alimentaire et que les parents vivent en concubinage ou pratiquent une garde alternée sur leur enfant mineur, le parent qui assure pour l'essentiel l'entretien est, en règle générale, celui qui dispose du revenu brut le plus élevé. Dans un souci d'harmonisation avec le droit fédéral et suite à plusieurs jurisprudences, c'est le revenu net le plus élevé qui est déterminant dès la période fiscale 2015. En revanche et nonobstant ce qui précède, lorsque les conditions cumulatives suivantes sont remplies, c'est le parent qui dispose du revenu net le plus bas qui est considéré comme le parent qui assure pour l'essentiel l'entretien de l'enfant :  les parents disposent de l'autorité parentale commune sur l'enfant ;  ils pratiquent une garde alternée ;</w:t>
      </w:r>
    </w:p>
    <w:p>
      <w:r>
        <w:t>- 6/9 - A/2213/2024  il n'y a pas de versement de pension alimentaire et  les frais nécessaires à l'entretien de l'enfant sont partagés entre eux de manière égale et cela ressort, en principe, du jugement de divorce</w:t>
      </w:r>
    </w:p>
    <w:p>
      <w:r>
        <w:t>Dans les autres cas, le parent qui assure pour l'essentiel l'entretien est, généralement, celui qui fait ménage commun avec l'enfant.</w:t>
      </w:r>
    </w:p>
    <w:p>
      <w:r>
        <w:rPr>
          <w:b/>
        </w:rPr>
        <w:t>E. 8</w:t>
      </w:r>
    </w:p>
    <w:p>
      <w:r>
        <w:t>Selon la jurisprudence, l’art. 39 LIPP définit de manière étroite le cercle des personnes susceptibles d’être considérées comme des charges de famille : il ne s’agit que des membres de la famille énoncés dans cette disposition légale (ATA/631/2021 du 15 juin 2021 consid. 4c). Les concubins et leurs enfants n’en font pas partie (ATA/76/2024 du 23 janvier 2024).</w:t>
      </w:r>
    </w:p>
    <w:p>
      <w:r>
        <w:rPr>
          <w:b/>
        </w:rPr>
        <w:t>E. 9</w:t>
      </w:r>
    </w:p>
    <w:p>
      <w:r>
        <w:t>Les déductions sociales et les barèmes sont déterminés d’après la situation existant à la fin de la période fiscale ou de l’assujettissement (art. 65 al. 1 LIPP). Le droit de l’impôt fédéral direct adopte le même système du jour déterminant, même s’il ne figure pas expressément dans la loi (arrêt du Tribunal fédéral 2C_1145/2013 du 20 septembre 2014 consid. 2.3).</w:t>
      </w:r>
    </w:p>
    <w:p>
      <w:r>
        <w:rPr>
          <w:b/>
        </w:rPr>
        <w:t>E. 10</w:t>
      </w:r>
    </w:p>
    <w:p>
      <w:r>
        <w:t>En cas de divorce ou de séparation judiciaire ou effective, les époux sont imposés séparément pour l’ensemble de la période fiscale (art. 42 al. 2 LIFD ; art. 66 al. 3 LIPP). Cette règle s’applique aux partenaires enregistrés en application des art. 9 al. 1 bis, 2ème phr. LIFD et 8 al. 2, 2ème phr. LIPP.</w:t>
      </w:r>
    </w:p>
    <w:p>
      <w:r>
        <w:rPr>
          <w:b/>
        </w:rPr>
        <w:t>E. 11</w:t>
      </w:r>
    </w:p>
    <w:p>
      <w:r>
        <w:t>Une personne peut adopter l’enfant de son partenaire enregistré (art. 264c al. 1 ch. 1 CC). L’enfant acquiert le statut juridique d’un enfant du ou des parents adoptifs (art. 267 al. 2 CC). Les conditions de l’adoption doivent être réunies dès le dépôt de la requête (art. 268 al. 1 CC) ; elle ne déploie ses effets qu'à partir du moment où elle est définitivement prononcée (ATF 101 Ib 113 consid. 3a).</w:t>
      </w:r>
    </w:p>
    <w:p>
      <w:r>
        <w:rPr>
          <w:b/>
        </w:rPr>
        <w:t>E. 12</w:t>
      </w:r>
    </w:p>
    <w:p>
      <w:r>
        <w:t>En l’espèce, l’AFC-GE fait valoir qu’en l’absence de lien de filiation établi entre la recourante et C______, au cours de l’année fiscale considérée, ce dernier ne pouvait être considéré comme une charge de famille pour la contribuable. En conséquence, elle n’a droit ni au barème parental, ni au splitting. La recourante ne partage pas le point de vue de l’autorité intimée. Elle soutient que la loi ne pose pas comme exigence l’existence d’un lien de filiation. La doctrine requiert uniquement que le contribuable fasse ménage commun avec l’enfant et qu’il en assume l’essentiel de son entretien. Par ailleurs, puisqu’en 2021, elle disposait du revenu le moins élevé et que les frais relatifs à C______ étaient répartis paritairement, par versement sur un compte commun, elle avait droit au barème parental et au splitting. Enfin, elle pouvait également prétendre à ces barèmes, dès lors qu’elle avait assumé la garde de son fils la majorité du temps.</w:t>
      </w:r>
    </w:p>
    <w:p>
      <w:r>
        <w:rPr>
          <w:b/>
        </w:rPr>
        <w:t>E. 13</w:t>
      </w:r>
    </w:p>
    <w:p>
      <w:r>
        <w:t>Au 31 décembre 2021, jour déterminant pour l’application du barème d’imposition, la recourante vivait séparée de Mme B______. En effet, le 12 novembre précédent, elles avaient déposé une requête commune en dissolution de leur partenariat enregistré.</w:t>
      </w:r>
    </w:p>
    <w:p>
      <w:r>
        <w:t>- 7/9 - A/2213/2024 À cette date, les liens de filiation entre la contribuable et C______ n’étaient pas encore établis, même si la requête d’adoption de ce dernier avait été introduite antérieurement, soit en l’occurrence le 22 août 2020. Le fait que, comme le soutient l’intéressée, les conditions légales de l’adoption devaient être remplies au moment du dépôt de la demande n’y change rien étant donné que la décision n’a été prononcée par l’OCPM que le 25 janvier 2024 et que, conformément à la jurisprudence, elle ne déploie aucun effet rétroactif. En conséquence, au 31 décembre 2021, C______ ne pouvait être considéré comme le fils de la recourante mais il devait être assimilé – fiscalement parlant – à un enfant de concubin. Or, selon la jurisprudence rappelée ci-dessus, l’enfant d’un concubin ne représente pas une charge de famille pour la personne qui l’entretient, en l’occurrence la recourante. Partant, celle-ci n’a pas droit au splitting en application de l’art. 41 al. 2 LIPP. Selon la convention, la recourante ne disposera de l’autorité parentale sur C______ qu’une fois l’adoption prononcée. Or, cette décision n’a été rendue qu’en 2024. Dès lors, au 31 décembre 2021, C______ était soumis à l’autorité parentale exclusive de sa mère biologique. En conséquence, la contribuable ne peut pas bénéficier du barème parental. La contribuable se prévaut en vain de la solution retenue par le Tribunal fédéral dans l’ATF 141 II 338. Si cette affaire concernait effectivement l’attribution du barème d’imposition pour une femme séparée, la question des liens de filiation ne se posait pas, contrairement à la présente cause. En effet, le lien de filiation entre la recourante, son ex-conjoint et leur enfant mineur était établi. En outre, celui-ci était soumis à leur autorité parentale conjointe.</w:t>
      </w:r>
    </w:p>
    <w:p>
      <w:r>
        <w:rPr>
          <w:b/>
        </w:rPr>
        <w:t>E. 14</w:t>
      </w:r>
    </w:p>
    <w:p>
      <w:r>
        <w:t>La recourante se plaint d’une violation du principe de célérité.</w:t>
      </w:r>
    </w:p>
    <w:p>
      <w:r>
        <w:rPr>
          <w:b/>
        </w:rPr>
        <w:t>E. 15</w:t>
      </w:r>
    </w:p>
    <w:p>
      <w:r>
        <w:t>Selon la jurisprudence, le caractère raisonnable de la durée d’une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Il appartient en effet au justiciable d'entreprendre ce qui est en son pouvoir pour que l'autorité fasse diligence, que ce soit en l'invitant à accélérer la procédure ou en recourant, le cas échéant, pour retard injustifié. Le principe vaut dans tous les types de causes, étant précisé que le comportement du justiciable s'apprécie avec moins de rigueur en procédure pénale et administrative que dans un procès civil. Cette règle découle du principe de la bonne foi, qui doit présider aux relations entre organes de l'État et particuliers. Il serait en effet contraire à ce principe qu'un justiciable puisse valablement soulever ce grief devant l'autorité de recours, alors qu'il n'a entrepris aucune démarche auprès de l'autorité précédente, afin de remédier à cette situation. Dans un tel cas, il n’y pas lieu d'examiner si les intérêts moratoires sont justifiés dans leur principe (arrêt du Tribunal fédéral 2C_48/2022 du 8 décembre 2022 consid. 3 et les arrêts cités).</w:t>
      </w:r>
    </w:p>
    <w:p>
      <w:r>
        <w:t>- 8/9 - A/2213/2024</w:t>
      </w:r>
    </w:p>
    <w:p>
      <w:r>
        <w:rPr>
          <w:b/>
        </w:rPr>
        <w:t>E. 16</w:t>
      </w:r>
    </w:p>
    <w:p>
      <w:r>
        <w:t>juin 2020. Le fait que l’autorité a pris deux ans pour rendre sa décision ne permet pas, in casu, de conclure à une violation du principe de la célérité, car l’autorité intimée a mené une instruction. Au demeurant, la contribuable ne l’a jamais mise en demeure de statuer. S'agissant de la violation du principe de célérité en lien avec la requête d’adoption déposée par la recourante, cette question est exorbitante au litige et ne ressort pas des compétences de l'autorité de céans, de sorte qu'elle ne sera pas examinée. Partant, le grief doit être écarté.</w:t>
      </w:r>
    </w:p>
    <w:p>
      <w:r>
        <w:rPr>
          <w:b/>
        </w:rPr>
        <w:t>E. 17</w:t>
      </w:r>
    </w:p>
    <w:p>
      <w:r>
        <w:t>La recourante se plaint d’une violation du principe d’imposition selon la capacité contributive.</w:t>
      </w:r>
    </w:p>
    <w:p>
      <w:r>
        <w:rPr>
          <w:b/>
        </w:rPr>
        <w:t>E. 18</w:t>
      </w:r>
    </w:p>
    <w:p>
      <w:r>
        <w:t>D’après le principe de la proportionnalité de la charge fiscale à la capacité contributive, chaque citoyen doit contribuer à la couverture des dépenses publiques, compte tenu de sa situation personnelle et en proportion de ses moyens (ATF 140 II 157 consid. 7.1).</w:t>
      </w:r>
    </w:p>
    <w:p>
      <w:r>
        <w:rPr>
          <w:b/>
        </w:rPr>
        <w:t>E. 19</w:t>
      </w:r>
    </w:p>
    <w:p>
      <w:r>
        <w:t>En l’espèce, la recourante soutient que le refus de lui accorder le barème parental, respectivement le splitting enfreint le principe de l’imposition selon la capacité contributive en ce sens que, de 2021 à 2023, elle a été contrainte de payer annuellement un montant d’impôt excédant CHF 6'000.-. L’intéressée ne peut être suivie. L’obligation de verser ce montant additionnel n’implique pas une violation du principe de la capacité contributive pour deux raisons. Premièrement, il est exclu d'accorder le barème pour couple à chacun des parents divorcés ou séparés (ATF 133 II 305 consid. 6.8). Deuxièmement, la réglementation relative aux barèmes se révèle schématique ; il est reconnu qu’en la matière, même s’il n’est pas possible de réaliser une égalité absolue, il ne faut pas que la réglementation en cause aboutisse de façon générale à une charge sensiblement plus lourde ou à une inégalité systématique à l’égard de certaines catégories de contribuables (ATF 141 II 338 consid. 4.5), ce qui n'est pas le cas en l'espèce.</w:t>
      </w:r>
    </w:p>
    <w:p>
      <w:r>
        <w:rPr>
          <w:b/>
        </w:rPr>
        <w:t>E. 20</w:t>
      </w:r>
    </w:p>
    <w:p>
      <w:r>
        <w:t>Au vu de ce qui précède, le recours doit être rejeté.</w:t>
      </w:r>
    </w:p>
    <w:p>
      <w:r>
        <w:rPr>
          <w:b/>
        </w:rPr>
        <w:t>E. 21</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w:t>
      </w:r>
    </w:p>
    <w:p>
      <w:r>
        <w:t>- 9/9 - A/2213/2024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