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JTAPI/217/2022 vom 7. März 2022</w:t>
      </w:r>
    </w:p>
    <w:p>
      <w:r>
        <w:t>GE Cour de justice, 2022-03-07, FR</w:t>
      </w:r>
    </w:p>
    <w:p>
      <w:r>
        <w:rPr>
          <w:b/>
        </w:rPr>
        <w:t xml:space="preserve">Quelle: </w:t>
      </w:r>
      <w:r>
        <w:t>https://mcp.opencaselaw.ch/entscheid/ge_gerichte_JTAPI_217_2022</w:t>
      </w:r>
    </w:p>
    <w:p>
      <w:r>
        <w:t>FR: GE_GERICHTE JTAPI/217/2022 du 7 mars 2022</w:t>
      </w:r>
    </w:p>
    <w:p>
      <w:r>
        <w:t>IT: GE_GERICHTE JTAPI/217/2022 del 7 marzo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 domaine relatif à la TVA et celui relatif aux impôts directs sur le revenu visant chacun des objectifs particuliers, il est possible qu’une même personne soit considérée différemment suivant le domaine en cause (arrêt du Tribunal administratif fédéral A-777/2013 du 30 juillet 2014 consid. 2.2.2 et les références citées).</w:t>
      </w:r>
    </w:p>
    <w:p>
      <w:r>
        <w:rPr>
          <w:b/>
        </w:rPr>
        <w:t>E. 4</w:t>
      </w:r>
    </w:p>
    <w:p>
      <w:r>
        <w:t>Selon l’info TVA concernant les secteurs n° 17 (Administration, location et vente d’immeubles, ch. 9.8 Extraction des ressources du sol, publié le 20 juin 2016), la mise à disposition d’un bien-fonds dans le but d’extraire à titre onéreux des ressources du sol (par ex. du sable, du gravier, des roches ou des galets) relève, même si le bien-fonds doit être remis dans son état d’origine, de l’octroi d’un droit (droit d’extraction ; prestation de services selon l’art. 3 let. e de la loi fédérale régissant la taxe sur la valeur ajoutée - LTVA - RS 641.20) imposable. Le</w:t>
      </w:r>
    </w:p>
    <w:p>
      <w:r>
        <w:t>- 6/11 - A/1795/2021 lieu de cette prestation de services est régi par l’art. 8 al. 2 let. f LTVA (lieu de situation de l’immeuble). Dès lors que ce droit est inscrit au registre foncier, il s’agit d’un droit réel dont l’octroi est exclu du champ de l’impôt (art. 21 al. 2 ch. 20 LTVA ; l’imposition par option est possible). Si le détenteur du droit d’extraction accorde à un tiers, moyennant une contre- prestation, la possibilité d’extraire une certaine quantité de ressources du sol, il y a livraison imposable au taux normal.</w:t>
      </w:r>
    </w:p>
    <w:p>
      <w:r>
        <w:rPr>
          <w:b/>
        </w:rPr>
        <w:t>E. 5</w:t>
      </w:r>
    </w:p>
    <w:p>
      <w:r>
        <w:t>Les gravières sont imposables au titre de rendement de la fortune immobilière tant au niveau cantonal (art. 24 al. 1 let. d LIPP) que fédéral (art. 21 al. 1 let. d LIFD).</w:t>
      </w:r>
    </w:p>
    <w:p>
      <w:r>
        <w:rPr>
          <w:b/>
        </w:rPr>
        <w:t>E. 6</w:t>
      </w:r>
    </w:p>
    <w:p>
      <w:r>
        <w:t>Les revenus de la fortune immobilière d’une personne physique sont imposés à titre de revenu de l’activité lucrative indépendante pour les biens appartenant à la fortune commerciale et à titre de rendement de la fortune immobilière pour les biens appartenant à la fortune privée (Nicolas MERLINO, in Commentaire romand, Impôt fédéral direct, 2017, n. 14 ad art. 21 LIFD). L’exploitation de produits inorganiques comme le gravier peut être confiée à un tiers, soit au moyen d’un contrat de cession d’usage soit d’un contrat d’aliénation. Tous les revenus qui en sont issus sont imposables comme rendements de la fortune immobilière chez son bénéficiaire, qu’il s’agisse du propriétaire ou du titulaire d’un droit de jouissance, comme l’usufruitier (Nicolas MERLINO, op. cit., n. 139 à 141 ad art. 21 LIFD). Les indemnités versées pour l’octroi du droit d’exploiter notamment une gravière ne constituent pas des gains en capital, et ce même si le terrain exploité fait partie de la fortune privée (ATF 125 V 383 consid. 2d ; arrêt du Tribunal fédéral 2C_142/2012 du 12 décembre 2013 consid. 3.4 = RDAF 2014 II p. 309).</w:t>
      </w:r>
    </w:p>
    <w:p>
      <w:r>
        <w:rPr>
          <w:b/>
        </w:rPr>
        <w:t>E. 7</w:t>
      </w:r>
    </w:p>
    <w:p>
      <w:r>
        <w:t>En l’espèce, les recourants ne contestent ni l’assujettissement à la TVA, ce qu’ils ne pourraient au demeurant pas faire en la présente procédure, ni, en soi, que la gravière fait partie de leur fortune privée, ce qu’ils ont indiqué dans leur déclaration fiscale et ce qu’a également retenu l’AFC-GE. Par conséquent, c’est à juste titre que le revenu issu de l’exploitation de la gravière, non exonéré de l’impôt, a été qualifié de revenu issu du rendement de la fortune immobilière dans le cadre de l’impôt direct sur le revenu.</w:t>
      </w:r>
    </w:p>
    <w:p>
      <w:r>
        <w:rPr>
          <w:b/>
        </w:rPr>
        <w:t>E. 8</w:t>
      </w:r>
    </w:p>
    <w:p>
      <w:r>
        <w:t>Il convient maintenant de déterminer si la prétention des recourants soulevée dans leurs conclusions est justifiée.</w:t>
      </w:r>
    </w:p>
    <w:p>
      <w:r>
        <w:rPr>
          <w:b/>
        </w:rPr>
        <w:t>E. 9</w:t>
      </w:r>
    </w:p>
    <w:p>
      <w:r>
        <w:t>Selon l’art. 25 LIFD, le revenu net se calcule en défalquant du total des revenus imposables les déductions générales et les frais mentionnés aux art. 26 à 33a.</w:t>
      </w:r>
    </w:p>
    <w:p>
      <w:r>
        <w:t>- 7/11 - A/1795/2021 En vertu de l’art. 28 LIPP, le revenu net se calcule en défalquant du total des revenus imposables les déductions générales et les frais mentionnés aux art. 29 à 37 LIPP. À teneur de l’art. 9 al. 1 LHID, les dépenses nécessaires à l’acquisition du revenu et les déductions générales sont défalquées de l’ensemble des revenus imposables. Les dispositions légales fédérales et cantonales précitées étant identiques, la jurisprudence et la doctrine citées ci-après, relatives à l’IFD, valent également pour les ICC.</w:t>
      </w:r>
    </w:p>
    <w:p>
      <w:r>
        <w:rPr>
          <w:b/>
        </w:rPr>
        <w:t>E. 10</w:t>
      </w:r>
    </w:p>
    <w:p>
      <w:r>
        <w:t>Les déductions admises peuvent être classées selon trois catégories : les déductions dites organiques (frais d’acquisition du revenu, art. 26 à 32 LIFD), les déductions générales (art. 33 à 33a LIFD) et les déductions sociales (art. 35 LIFD) (Yves NOËL, in Commentaire romand, Impôt fédéral direct, 2017, n. 5 ad art. 25 LIFD).</w:t>
      </w:r>
    </w:p>
    <w:p>
      <w:r>
        <w:rPr>
          <w:b/>
        </w:rPr>
        <w:t>E. 11</w:t>
      </w:r>
    </w:p>
    <w:p>
      <w:r>
        <w:t>Selon la jurisprudence, la clause générale de l’art. 25 LIFD concernant les déductions organiques permet la déduction des frais d’acquisition pour des revenus pour lesquels une déduction n’est pas explicitement mentionnée dans les dispositions en question (arrêt du Tribunal fédéral 2C_681/2008 du 12 décembre 2008 consid. 3.3 ; voir également à ce sujet : Peter LOCHER, in Kommentar zum Bundesgestz über die direkte Bundessteuer, Teil. I, 2ème éd., 2019, n. 2 ad art. 25 DBG). La jurisprudence et la doctrine distinguent les déductions organiques de celles dites « anorganiques ». Les déductions organiques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l’art. 127 al. 2 de la Constitution fédérale de la Confédération suisse du 18 avril 1999 (Cst. - RS 101), qui exige que la capacité contributive soit établie de manière objective (arrêt du Tribunal fédéral 2C_162/2010 du 21 juillet 2010 consid. 6.3).</w:t>
      </w:r>
    </w:p>
    <w:p>
      <w:r>
        <w:rPr>
          <w:b/>
        </w:rPr>
        <w:t>E. 12</w:t>
      </w:r>
    </w:p>
    <w:p>
      <w:r>
        <w:t>Constituent d’abord des frais d’acquisition du revenu les dépenses qui ont été essentiellement causées, respectivement engagées par la réalisation du revenu (condition de la causalité) et dont on ne peut exiger du contribuable qu’il l’évite (condition de l’inexigibilité) (arrêt du Tribunal fédéral 2C_745/2017 du 21 septembre 2017 consid. 2.2.2 = RDAF 2018 II 149). Selon le Tribunal fédéral, il convient de comprendre par là les dépenses faites immédiatement et en rapport direct avec l’obtention du revenu (Arch. 62, 403 = RDAF 1994, 85). La notion de nécessité doit être interprétée largement : il n’est</w:t>
      </w:r>
    </w:p>
    <w:p>
      <w:r>
        <w:t>- 8/11 - A/1795/2021 pas exigé que le contribuable n’ait pas pu acquérir le revenu sans la dépense querellée ou qu’il existe un devoir juridique à faire cette dépense ; il suffit que la dépense soit économiquement nécessaire à l’obtention (et plus exactement encore aux fins d’obtenir) du revenu et que l’on ne saurait exiger du contribuable qu’il s’en abstienne (ATF 124 II 29 = RDAF 1999 II 113 ; arrêt du Tribunal fédéral 2C_1058/2017 du 5 février 2019 consid. 11.1). La jurisprudence du Tribunal fédéral en effet n’exige pas la preuve que le revenu n’aurait pas été réalisé sans les dépenses considérées. Il suffit que, d’après l’expérience, elles apparaissent comme favorables à l’acquisition du revenu et qu’on ne puisse exiger du contribuable qu’il y renonce (Arch. 67, 477 = RDAF 1999 II 126; StE 2000 B 22.3 Nr.70 = RDAF 2000 II 412). Les frais d’acquisition du revenu ne peuvent être pris en considération si les revenus correspondant ne sont acquis que dans une période ultérieure, c’est-à-dire que le principe de périodicité doit également être respecté en la matière (ATF 142 II 293 consid. 3.5 ; arrêts du Tribunal fédéral 2C_87/2015 du 23 octobre 2015 consid. 8.1.2 ; 2C_1279/2012 du 14 octobre 2013 consid. 4.2).</w:t>
      </w:r>
    </w:p>
    <w:p>
      <w:r>
        <w:rPr>
          <w:b/>
        </w:rPr>
        <w:t>E. 13</w:t>
      </w:r>
    </w:p>
    <w:p>
      <w:r>
        <w:t>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L’art. 32 al. 4 LIFD prévoit qu’au lieu du montant effectif des frais et primes se rapportant aux immeubles privés, le contribuable peut faire valoir une déduction forfaitaire. Le Conseil fédéral arrête cette déduction forfaitaire. Dans le canton de Genève, en conformité avec l’art. 9 al. 3 LHID, l’art. 34 let. d LIPP prévoit que sont déductibles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Pour son propre logement, le contribuable peut faire valoir une déduction forfaitaire au lieu du montant effectif de ces frais et primes. Le Conseil d’État arrête ces déductions forfaitaires.</w:t>
      </w:r>
    </w:p>
    <w:p>
      <w:r>
        <w:rPr>
          <w:b/>
        </w:rPr>
        <w:t>E. 14</w:t>
      </w:r>
    </w:p>
    <w:p>
      <w:r>
        <w:t>Dans le cadre du droit fiscal harmonisé qui régit l’imposition directe aux niveaux cantonal et communal, tant la notion de revenu que celle de déduction des frais nécessaires à l’entretien des immeubles privés, correspondent à la LIFD. D’ailleurs, et sous réserve de la détermination des éléments relatifs au calcul de la valeur locative, le droit harmonisé ne laisse plus aucune marge de liberté aux cantons s’agissant de la déductibilité des frais d’entretien d’immeubles (arrêt du Tribunal fédéral 2C_878/2010 du 19 avril 2011 et les références citées).</w:t>
      </w:r>
    </w:p>
    <w:p>
      <w:r>
        <w:t>- 9/11 - A/1795/2021</w:t>
      </w:r>
    </w:p>
    <w:p>
      <w:r>
        <w:rPr>
          <w:b/>
        </w:rPr>
        <w:t>E. 15</w:t>
      </w:r>
    </w:p>
    <w:p>
      <w:r>
        <w:t>Les dépenses qualifiées de déductibles par l’art. 32 LIFD, ne doivent pas être interprétées comme une liste exhaustive, mais au contraire comme une liste exemplative. D’autres dépenses immobilières peuvent représenter des frais d’acquisition du revenu immobilier déductible, cas échéant, dans le cadre de la clause générale de l’art. 25 LIFD (Nicolas MERLINO, op. cit., n. 24 ad art. 32 LIFD).</w:t>
      </w:r>
    </w:p>
    <w:p>
      <w:r>
        <w:rPr>
          <w:b/>
        </w:rPr>
        <w:t>E. 16</w:t>
      </w:r>
    </w:p>
    <w:p>
      <w:r>
        <w:t>Selon l’art. 34 let. e LIFD, dont la teneur exacte est reprise par l’art. 38 let. e LIPP, ne peuvent être déduits les autres frais et dépenses, en particulier les impôts de la Confédération, des cantons et des communes sur le revenu, sur les gains immobiliers et sur la fortune, ainsi que les impôts étrangers analogue. Les frais d’acquisition du revenu ne sont pas exhaustivement énumérés aux art. 26 à 32 LIFD contrairement aux déductions générales des art. 33 et 33a LIFD. Ainsi, le début de l’art. 34 LIFD, qui retient que « ne peuvent être déduits les autres frais et dépenses […] » ne doit pas être compris comme excluant de la déductibilité les frais d’acquisition non expressément mentionnés aux art. 26 à 32 LIFD, mais seulement les déductions générales non énumérées aux art. 33 et 33a LIFD (Yves NOËL, op. cit., n. 2 ad art. 34 LIFD). La liste des impôts non déductibles est exhaustive. Les impôts qui n’y figurent pas, comme les droits de timbre, les taxes professionnelles, les taxes administratives, les frais de patente, sont analysés selon l’approche ordinaire des frais d’acquisition du revenu (Yves NOËL, op. cit., n. 23 ad art. 34 LIFD).</w:t>
      </w:r>
    </w:p>
    <w:p>
      <w:r>
        <w:rPr>
          <w:b/>
        </w:rPr>
        <w:t>E. 17</w:t>
      </w:r>
    </w:p>
    <w:p>
      <w:r>
        <w:t>En vertu des principes de l’étanchéité des exercices et de la périodicité de l’impôt, chaque exercice est considéré comme un tout autonome, sans que le résultat d’un exercice puisse avoir une influence sur les suivants. Le contribuable ne saurait choisir l’année fiscale au cours de laquelle il fait valoir les déductions autorisées. Les déductions doivent être demandées dans la déclaration d’impôts de l’année au cours de laquelle les faits justifiant l’octroi des déductions se sont produits (ATA/1637/2019 du 5 novembre 2019, consid. 8 et les références citées).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Ainsi,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 cit., n. 15 ad art. 25 LIFD).</w:t>
      </w:r>
    </w:p>
    <w:p>
      <w:r>
        <w:t>- 10/11 - A/1795/2021</w:t>
      </w:r>
    </w:p>
    <w:p>
      <w:r>
        <w:rPr>
          <w:b/>
        </w:rPr>
        <w:t>E. 18</w:t>
      </w:r>
    </w:p>
    <w:p>
      <w:r>
        <w:t>En l’espèce, il est correct de prendre en compte les déductions liées à la fortune immobilière au sens de l’art. 34 let. d LIPP. Cela ne signifie pas pour autant que celles-ci seraient seules applicables, à l’exclusion de toutes autres déductions de frais d’acquisition du revenu. Il faut prendre également en compte la clause générale de l’art. 28 LIPP à l’aune de l’art. 9 al. 1 LHID et à laquelle s’applique le raisonnement relatif à l’art. 25 LIFD, qui est son pendant pour l’IFD. Le recourant, en confiant l’exploitation de sa gravière à un tiers en contrepartie d’une redevance, est soumis à la TVA comme vu plus haut. La TVA est directement causée par l’activité génératrice de revenu et il y est obligatoirement assujetti selon la loi, comme les recourants l'ont d'ailleurs établi. Toutefois, en vertu des principes de l'étanchéité des exercices et la périodicité de l'impôt, les frais d’acquisition du revenu sont intégralement déductibles dans l’année de réalisation du revenu correspondant. Ainsi, dans la mesure où le litige porte sur les ICC 2019, seul le montant de la TVA correspondant à l’acquisition du revenu durant cette année, peut être déduit, à savoir le montant de CHF 17’501.25 que les recourants ont démontré avoir payé, à l’exclusion des sommes dues suite au contrôle pour les années 2014 à 2018, soit le montant de CHF 33’414.-.</w:t>
      </w:r>
    </w:p>
    <w:p>
      <w:r>
        <w:rPr>
          <w:b/>
        </w:rPr>
        <w:t>E. 19</w:t>
      </w:r>
    </w:p>
    <w:p>
      <w:r>
        <w:t>Au vu de ce qui précède, le recours doit être partiellement admis dans le sens des considérants qui précèdent et le dossier renvoyé à l’AFC-GE pour nouvelle taxation.</w:t>
      </w:r>
    </w:p>
    <w:p>
      <w:r>
        <w:rPr>
          <w:b/>
        </w:rPr>
        <w:t>E. 20</w:t>
      </w:r>
    </w:p>
    <w:p>
      <w:r>
        <w:t>En application des art. 52 al. 1 LPFisc, 87 al. 1 de la loi sur la procédure administrative du 12 septembre 1985 (LPA - E 5 10) et des art.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400.- ; il est couvert par l’avance de frais de CHF 700.- versée à la suite du dépôt du recours. Le solde de l’avance de frais de CHF 300.- leur est restitué. Aucune indemnité de procédure ne sera allouée, les recourants n’y ayant pas conclu (art. 87 al. 2 LPA).</w:t>
      </w:r>
    </w:p>
    <w:p>
      <w:r>
        <w:t>- 11/11 - A/1795/2021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