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JTAPI/216/2024 vom 27. Juni 2018</w:t>
      </w:r>
    </w:p>
    <w:p>
      <w:r>
        <w:t>GE Cour de justice, 2018-06-27, FR</w:t>
      </w:r>
    </w:p>
    <w:p>
      <w:r>
        <w:rPr>
          <w:b/>
        </w:rPr>
        <w:t xml:space="preserve">Quelle: </w:t>
      </w:r>
      <w:r>
        <w:t>https://mcp.opencaselaw.ch/entscheid/ge_gerichte_JTAPI_216_2024</w:t>
      </w:r>
    </w:p>
    <w:p>
      <w:r>
        <w:t>FR: GE_GERICHTE JTAPI/216/2024 du 27 juin 2018</w:t>
      </w:r>
    </w:p>
    <w:p>
      <w:r>
        <w:t>IT: GE_GERICHTE JTAPI/216/2024 del 27 giugno 2018</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4 mars 2024, le tribunal a été valablement saisi, dans le délai légal précité, d'une requête de l'OCPM tendant à la prolongation de la détention administrative de M. A______ pour une durée de deux mois.</w:t>
      </w:r>
    </w:p>
    <w:p>
      <w:r>
        <w:rPr>
          <w:b/>
        </w:rPr>
        <w:t>E. 3.1</w:t>
      </w:r>
    </w:p>
    <w:p>
      <w:r>
        <w:t>; 2C_756/2009 du 15 décembre 2009 consid. 2.1).</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S'agissant de la légalité de la détention de M. A______, celle-ci a déjà été examinée et confirmée par la chambre administrative, par arrêt ATA/1318/2023 du 8 décembre 2023. La situation de M. A______ ne s'est depuis lors pas modifiée, de sorte que sa détention reste fondée sous l'angle de sa légalité.</w:t>
      </w:r>
    </w:p>
    <w:p>
      <w:r>
        <w:rPr>
          <w:b/>
        </w:rPr>
        <w:t>E. 6</w:t>
      </w:r>
    </w:p>
    <w:p>
      <w:r>
        <w:t>Reste à examiner s'il se justifie de prolonger cette dernière, ce que le tribunal doit examiner sous l'angle du principe de la proportionnalité.</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- 6/7 - A/736/2024</w:t>
      </w:r>
    </w:p>
    <w:p>
      <w:r>
        <w:rPr>
          <w:b/>
        </w:rPr>
        <w:t>E. 10</w:t>
      </w:r>
    </w:p>
    <w:p>
      <w:r>
        <w:t>En l'occurrence, la détention administrative de M. A______ a débuté il y a bientôt quatre mois, durée dont il porte lui-même une part de responsabilité en raison de son refus catégorique de retourner en Algérie, malgré les décisions de renvoi et d'expulsion du territoire suisse qui se sont succédées à son encontre depuis quatorze ans. La prolongation de détention requise, de deux mois, porterait celle-ci à six mois au total, ce qui ne représentent encore qu'un tiers de la durée totale de dix-huit mois que peut atteindre une détention administrative selon l'art. 79 al. 1 et 2 LEI. Face à son droit à la liberté individuelle (art. 5 de la Convention de sauvegarde des droits de l’homme et des libertés fondamentales du 4 novembre 1950 (CEDH - RS 0.101), l'intérêt public à son éloignement de Suisse, compte tenu de ses nombreux antécédents pénaux, l'emporte nettement. Cela étant, le tribunal peut suivre en partie l'argumentation du conseil de M. A______ sur le fait que, compte tenu de l'état actuel d'avancement des démarches destinées à permettre l'exécution de son renvoi, on ne distingue pas clairement la nécessité d'une prolongation de détention atteignant une durée de deux mois. Selon les explications données à l'audience de ce jour par la représentante de l'OCPM, la réservation d'un vol devrait pouvoir avoir lieu encore dans le courant du mois de mars, voire dans le premier tiers du mois d'avril. Par conséquent, même s'il faut veiller à ce qu'en cas d'échec de l'exécution du renvoi, l'OCPM dispose encore du temps nécessaire pour saisir cas échéant le tribunal d'une nouvelle demande de prolongation de la détention, il ne se justifie pas, dans ces conditions, que la détention de M. A______ se prolonge plus de six semaines au-delà de l'échéance actuelle de sa détention le 15 mars 2024.</w:t>
      </w:r>
    </w:p>
    <w:p>
      <w:r>
        <w:rPr>
          <w:b/>
        </w:rPr>
        <w:t>E. 11</w:t>
      </w:r>
    </w:p>
    <w:p>
      <w:r>
        <w:t>Au vu de ce qui précède, la demande de prolongation de la détention administrative de M. A______ sera partiellement admise mais pour une durée de six semaines, soit jusqu'au 25 avril 2024 inclus.</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- 7/7 - A/736/2024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