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JTAPI/216/2021 vom 8. März 2021</w:t>
      </w:r>
    </w:p>
    <w:p>
      <w:r>
        <w:t>GE Cour de justice, 2021-03-08, FR</w:t>
      </w:r>
    </w:p>
    <w:p>
      <w:r>
        <w:rPr>
          <w:b/>
        </w:rPr>
        <w:t xml:space="preserve">Quelle: </w:t>
      </w:r>
      <w:r>
        <w:t>https://mcp.opencaselaw.ch/entscheid/ge_gerichte_JTAPI_216_2021</w:t>
      </w:r>
    </w:p>
    <w:p>
      <w:r>
        <w:t>FR: GE_GERICHTE JTAPI/216/2021 du 8 mars 2021</w:t>
      </w:r>
    </w:p>
    <w:p>
      <w:r>
        <w:t>IT: GE_GERICHTE JTAPI/216/2021 del 8 marzo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Interjetés en temps utile et dans les formes prescrites devant la juridiction compétente, les recours sont recevables au sens de l’art. 49 LPFisc.</w:t>
      </w:r>
    </w:p>
    <w:p>
      <w:r>
        <w:rPr>
          <w:b/>
        </w:rPr>
        <w:t>E. 3</w:t>
      </w:r>
    </w:p>
    <w:p>
      <w:r>
        <w:t>Selon l’art. 70 al. 1 de la loi sur la procédure administrative du 12 septembre 1985 (LPA - E 5 10), applicable en vertu de l’art. 2 al. 2 LPFisc, le tribunal peut, d’office ou sur requête, joindre en une même procédure des affaires qui se rapportent à une situation identique ou à une cause juridique commune</w:t>
      </w:r>
    </w:p>
    <w:p>
      <w:r>
        <w:rPr>
          <w:b/>
        </w:rPr>
        <w:t>E. 4</w:t>
      </w:r>
    </w:p>
    <w:p>
      <w:r>
        <w:t>En l’espèce, les deux procédures A/3320/2020 et A/3321/2020 opposent les mêmes parties, se rapportent au même complexe de faits lors de deux années fiscales successives et traite d’un problème juridique identique. Par conséquent, le tribunal les joindra sous la procédure A/3320/2020.</w:t>
      </w:r>
    </w:p>
    <w:p>
      <w:r>
        <w:rPr>
          <w:b/>
        </w:rPr>
        <w:t>E. 5</w:t>
      </w:r>
    </w:p>
    <w:p>
      <w:r>
        <w:t>Les contribuables contestent l’estimation de leur bien immobilier.</w:t>
      </w:r>
    </w:p>
    <w:p>
      <w:r>
        <w:rPr>
          <w:b/>
        </w:rPr>
        <w:t>E. 6</w:t>
      </w:r>
    </w:p>
    <w:p>
      <w:r>
        <w:t>L’impôt sur la fortune des personnes physiques a pour objet l’ensemble de la fortune nette (art. 13 al. 1 LHID) qui se détermine selon les règles d’évaluation prévues à l’art. 14 LHID. Selon cette disposition, les immeubles, hormis ceux affectés à l’agriculture ou à la sylviculture ou ceux faisant partie de la fortune commerciale du contribuable, sont estimés à la valeur vénale ; la valeur de rendement peut toutefois être prise en compte de façon appropriée. Les cantons disposent en la matière d’une marge de manœuvre importante pour élaborer et appliquer leur réglementation, aussi bien dans le choix de la méthode de calcul que pour déterminer dans quelle mesure la valeur de rendement doit être prise en considération dans l’estimation (ATF 134 II 207 consid. 3.6 ; arrêt du Tribunal fédéral 2C_28/2020 du 7 février 2020 consid. 2).</w:t>
      </w:r>
    </w:p>
    <w:p>
      <w:r>
        <w:rPr>
          <w:b/>
        </w:rPr>
        <w:t>E. 7</w:t>
      </w:r>
    </w:p>
    <w:p>
      <w:r>
        <w:t>À Genève, sont notamment soumis à l’impôt sur la fortune les immeubles (art. 47 let. a de la loi sur l’imposition des personnes physiques du 27 septembre 2009 - LIPP - D 3 08) L’état de la fortune immobilière est établi au 31 décembre de l’année pour laquelle l’impôt est dû. La fortune est estimée, en général, à la valeur vénale (art. 49 al. 1 et 2 LIPP). L’art. 50 LIPP fixe les principes d’estimation des immeubles. Il en découle que la valeur des autres immeubles - à savoir ceux non locatifs, ceux qui ne servent pas exclusivement et directement à l’exploitation d’un commerce ou d’une industrie</w:t>
      </w:r>
    </w:p>
    <w:p>
      <w:r>
        <w:t>- 7/10 - A/3320/2020 ni ceux ne servent à l’exploitation agricole et sylvicole ainsi que ceux n’étant pas des terrains improductifs ou à bâtir -,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 e). Selon l’art. 51 LIPP, tout propriétaire qui fait construire un bâtiment nouveau ou qui, par des travaux quelconques, augmente la valeur d’un bâtiment ou d’une propriété, est tenu de faire au département, dans les douze mois qui suivent l’achèvement de la construction ou des travaux, une déclaration indiquant la nature, l’importance et la valeur des modifications ou des nouvelles constructions (al. 1). Le coût de ces constructions et travaux est intégré à la valeur fiscale (al. 2). À teneur de l’art. 52 LIPP, l’évaluation des immeubles visés à l’art. 50 let. e LIPP est faite par des commissions d’experts et vaut pour une période de dix ans appelée période décennale (al. 2). Le Conseil d’État, comme le contribuable, ont, en tout temps, la faculté de faire procéder à de nouvelles estimations si des changements importants dans la valeur des immeubles le justifient (al. 5).</w:t>
      </w:r>
    </w:p>
    <w:p>
      <w:r>
        <w:rPr>
          <w:b/>
        </w:rPr>
        <w:t>E. 8</w:t>
      </w:r>
    </w:p>
    <w:p>
      <w:r>
        <w:t>La jurisprudence cantonale s’est prononcée à plusieurs reprises sur l’art. 52 al. 5 LIPP. 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(ATA/71/ 2018 du 23 janvier 2018 consid. 7b ; ATA/297/2015 du 24 mars 2015 consid. 8). Le contribuable n’a pas la faculté de substituer sa propre appréciation à celle de l’administration ou de la commission d’experts. S’il considère que la valeur de son bien immobilier a été mal estimée, il doit former une demande de nouvelle estimation. Il est tenu de motiver sa requête et d’indiquer en quoi consistaient les changements survenus dans la valeur de sa propriété. Une expertise ne peut être requise pour la première fois devant la juridiction de recours, car la demande en ce sens doit être présentée préalablement à l’administration (ATA/223/2019 du 5 mars 2019 consid. 6 et les références citées). Afin d’avoir une incidence sur l’impôt d’une année déterminée, la demande d’expertise de l’art. 52 al. 5 LIPP doit avoir été formée avant la date déterminante</w:t>
      </w:r>
    </w:p>
    <w:p>
      <w:r>
        <w:t>- 8/10 - A/3320/2020 pour la situation du contribuable et la fixation de la matière imposable, en l’occurrence le 31 décembre de ladite année (ATA/223/2019 du 5 mars 2019 consid. 6 et les références citées). Cette jurisprudence cantonale a été confirmée par le Tribunal fédéral (arrêt du Tribunal fédéral 2C_734/2008 du 29 janvier 2009 consid. 4.2 à 6.3 ; cf. aussi arrêt 2C_734/2008 du 29 janvier 2009 consid. 4.3). En effet, appelé à examiner la situation d’une contribuable genevoise dans le cadre de l’IIC, le Tribunal fédéral a jugé que même en l’absence d’une disposition fixant un délai pour le dépôt d’une requête de nouvelle estimation, cette exigence jurisprudentielle n’était pas arbitraire et qu’elle était admissible.</w:t>
      </w:r>
    </w:p>
    <w:p>
      <w:r>
        <w:rPr>
          <w:b/>
        </w:rPr>
        <w:t>E. 9</w:t>
      </w:r>
    </w:p>
    <w:p>
      <w:r>
        <w:t>En l’espèce, ainsi qu’il résulte de la jurisprudence précitée, le fait qu’aucune base légale ne stipule que la demande d’expertise de l’art. 52 al. 5 LIPP doit avoir été formée avant le 31 décembre de l’année fiscale en cause ne signifie pas que cette exigence soit inadmissible et qu’il faille s’en écarter. Il convient donc de s’y tenir et de constater, partant, que les recourants ne peuvent contester la valeur fiscale de l’immeuble devant le tribunal de céans faute d’avoir présenté une demande d’estimation motivée à l’AFC-GE avant les 31 décembre 2017, respectivement 2018. En outre, force est pour le tribunal de constater que l’estimation de la valeur du bien immobilier a été effectuée conformément aux dispositions légales et à la jurisprudence applicable en la matière. En effet, les recourants ont acquis le bien immobilier en cause pour la somme de CHF 7’200’000.-, avec pour effet que cette valeur d’aliénation s’est substituée à la valeur d’estimation retenue jusqu’alors. Du fait de la destruction du bâtiment auparavant érigé sur la parcelle, la valeur du terrain nu a ensuite été fixée par l’AFC-GE au montant de CHF 4’162’000.-, ce qui a été accepté par les contribuables ; cette valeur a ainsi remplacé la valeur d’aliénation. Ensuite, les recourants ont fait procéder à des travaux de démolition et de reconstruction pour un total de CHF 8’762’253.-, montant qui a été ajouté à la valeur fiscale. Ainsi, l’AFC-GE a pris en compte la valeur du terrain nu de CHF 4’162’000.- et y a ajouté la somme de CHF 8’762’253.- représentant les coûts des constructions et des travaux effectués entre les années 2013 et 2017, déclarés par les contribuables et justifiés par des documents. Cette manière de procéder n’est pas contestable.</w:t>
      </w:r>
    </w:p>
    <w:p>
      <w:r>
        <w:rPr>
          <w:b/>
        </w:rPr>
        <w:t>E. 10</w:t>
      </w:r>
    </w:p>
    <w:p>
      <w:r>
        <w:t>Mal fondés, les recours seront par conséquent rejetés.</w:t>
      </w:r>
    </w:p>
    <w:p>
      <w:r>
        <w:rPr>
          <w:b/>
        </w:rPr>
        <w:t>E. 11</w:t>
      </w:r>
    </w:p>
    <w:p>
      <w:r>
        <w:t>En application des art.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800.-; il est couvert par l’avance de frais versée à la suite du dépôt des recours. Le solde de l’avance de frais de CHF 600.- leur est restitué.</w:t>
      </w:r>
    </w:p>
    <w:p>
      <w:r>
        <w:t>- 9/10 - A/3320/2020 Vu l’issue du litige, aucune indemnité de procédure ne sera allouée (art. 87 al. 2 LPA).</w:t>
      </w:r>
    </w:p>
    <w:p>
      <w:r>
        <w:t>- 10/10 - A/3320/2020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