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JTAPI/213/2023 vom 23. Februar 2023</w:t>
      </w:r>
    </w:p>
    <w:p>
      <w:r>
        <w:t>GE Cour de justice, 2023-02-23, FR</w:t>
      </w:r>
    </w:p>
    <w:p>
      <w:r>
        <w:rPr>
          <w:b/>
        </w:rPr>
        <w:t xml:space="preserve">Quelle: </w:t>
      </w:r>
      <w:r>
        <w:t>https://mcp.opencaselaw.ch/entscheid/ge_gerichte_JTAPI_213_2023</w:t>
      </w:r>
    </w:p>
    <w:p>
      <w:r>
        <w:t>FR: GE_GERICHTE JTAPI/213/2023 du 23 février 2023</w:t>
      </w:r>
    </w:p>
    <w:p>
      <w:r>
        <w:t>IT: GE_GERICHTE JTAPI/213/2023 del 23 febbraio 2023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22 février 2023 à 16h10.</w:t>
      </w:r>
    </w:p>
    <w:p>
      <w:r>
        <w:rPr>
          <w:b/>
        </w:rPr>
        <w:t>E. 3</w:t>
      </w:r>
    </w:p>
    <w:p>
      <w:r>
        <w:t>Le tribunal se prononce au terme d'une procédure orale (art. 9 al. 5 LaLEtr) ; il peut confirmer, réformer ou annuler la décision du commissaire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w:t>
      </w:r>
    </w:p>
    <w:p>
      <w:r>
        <w:t>- 6/8 - A/612/2023 140 II 1 consid. 5.1 ; arrêts du Tribunal fédéral 2C_256/2013 du 10 avril 2013 consid. 4.1 ; 2C_237/2013 du 27 mars 2013 consid. 5.1 ; 2C_478/2012 du 14 juin 2012 consid. 2.1).</w:t>
      </w:r>
    </w:p>
    <w:p>
      <w:r>
        <w:rPr>
          <w:b/>
        </w:rPr>
        <w:t>E. 5</w:t>
      </w:r>
    </w:p>
    <w:p>
      <w:r>
        <w:t>À teneur de l'art. 76 al. 1 let. b ch. 1 LEI (cum 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selon les informations de fedpol ou du SRC, elle menace la sécurité intérieure ou extérieure de la Suisse (let. i).</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7</w:t>
      </w:r>
    </w:p>
    <w:p>
      <w:r>
        <w:t>En l’espèce, M. A______ fait l’objet d’une décision d’expulsion rendue par fedpol le 22 février 2023 au terme de laquelle il a été retenu qu’il menaçait la sécurité intérieure ou extérieure de la Suisse. Cette décision lui a été dûment notifiée et est exécutoire nonobstant recours. Il fait également l’objet d’une décision de renvoi de Suisse prononcée le même jour par l’OCPM. Les conditions de détention fondées sur l’art. 75 al. 1 let. i LEI par renvoi de l’art. 76 al. 1 let. b ch. 1 LEI sont donc remplies sans qu’il soit nécessaire d’examiner si la détention pourrait reposer sur d’autres dispositions légales. L’assurance de son départ de Suisse répond en outre à un intérêt public certain et toute autre mesure moins incisive que la détention administrative serait vaine pour assurer sa présence au moment où il devra monter dans l’avion devant le reconduire dans son pays d’origine, étant relevé que l’intéressé n’a ni résidence fixe, ni source légale de revenu en Suisse, ni documents d’identité, et que les autorités suisses doivent s'assurer du fait qu'il quittera effectivement le territoire (cf. not. art. 8 par. 6 de la Directive sur le retour et 15f de l'ordonnance sur l'exécution du renvoi et de l'expulsion d'étrangers du 11 août 1999 - OERE - RS 142.281). Elles ne peuvent en aucun cas permettre à M. A______ de se rendre en Arabie Saoudite comme il le souhaite.</w:t>
      </w:r>
    </w:p>
    <w:p>
      <w:r>
        <w:rPr>
          <w:b/>
        </w:rPr>
        <w:t>E. 8</w:t>
      </w:r>
    </w:p>
    <w:p>
      <w:r>
        <w:t>Les démarches nécessaires à l'exécution du renvoi doivent être entreprises sans tarder par l'autorité compétente (art. 76 al. 4 LEI). Il s'agit, selon la jurisprudence</w:t>
      </w:r>
    </w:p>
    <w:p>
      <w:r>
        <w:t>- 7/8 - A/612/2023 du Tribunal fédéral, d'une condition à laquelle la détention est subordonnée (arrêt 2A.581/2006 du 18 octobre 2006 ; cf. aussi ATA/315/2010 du 6 mai 2010 ; ATA/88/2010 du 9 février 2010 ; ATA/644/2009 du 8 décembre 2009 et les références citées).</w:t>
      </w:r>
    </w:p>
    <w:p>
      <w:r>
        <w:rPr>
          <w:b/>
        </w:rPr>
        <w:t>E. 9</w:t>
      </w:r>
    </w:p>
    <w:p>
      <w:r>
        <w:t>En l’espèce, les autorités ont sollicité du médecin de CURABILIS l’établissement d’un rapport médial afin de déterminer si et avec quelles mesures d’accompagnement le renvoi de Suisse de M. A______ pourra être organisé. Sans ce document, elles ne peuvent entreprendre aucune autre démarche. Elles ont donc agi avec toute la diligence et la célérité requises.</w:t>
      </w:r>
    </w:p>
    <w:p>
      <w:r>
        <w:rPr>
          <w:b/>
        </w:rPr>
        <w:t>E. 10</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11</w:t>
      </w:r>
    </w:p>
    <w:p>
      <w:r>
        <w:t>En l’occurrence, la durée de six semaines parait adéquate. Elle permettra aux autorités de recevoir le rapport médical – dont la transmission peut prendre une semaine selon la diligence du médecin – et d’organiser le renvoi de M. A______, lequel devra certainement se faire avec une escorte policière, voire médicale, et la question de savoir s’il pourra se faire par vol de ligne ou non ne peut à ce stade être tranchée. En tout état, les autorités doivent encore faire face à de nombreuses démarches qui peuvent prendre du temps : à cela s’ajoute que M. A______ s’oppose formellement à son renvoi. Il sera souligné que si M. A______ collabore à son renvoi, son départ pourra se faire plus rapidement et la détention prendre fin.</w:t>
      </w:r>
    </w:p>
    <w:p>
      <w:r>
        <w:rPr>
          <w:b/>
        </w:rPr>
        <w:t>E. 12</w:t>
      </w:r>
    </w:p>
    <w:p>
      <w:r>
        <w:t>Au vu de ce qui précède, il y a lieu de confirmer l'ordre de mise en détention administrative de M. A______ pour une durée de six semaines.</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A/612/2023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