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JTAPI/210/2025 vom 12. Februar 2025</w:t>
      </w:r>
    </w:p>
    <w:p>
      <w:r>
        <w:t>GE Cour de justice, 2025-02-12, FR</w:t>
      </w:r>
    </w:p>
    <w:p>
      <w:r>
        <w:rPr>
          <w:b/>
        </w:rPr>
        <w:t xml:space="preserve">Quelle: </w:t>
      </w:r>
      <w:r>
        <w:t>https://mcp.opencaselaw.ch/entscheid/ge_gerichte_JTAPI_210_2025</w:t>
      </w:r>
    </w:p>
    <w:p>
      <w:r>
        <w:t>FR: GE_GERICHTE JTAPI/210/2025 du 12 février 2025</w:t>
      </w:r>
    </w:p>
    <w:p>
      <w:r>
        <w:t>IT: GE_GERICHTE JTAPI/210/2025 del 12 febbraio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Expédiée le dernier jour de la mesure d’éloignement et reçue par le tribunal le lendemain, l’opposition ne peut être traitée que ce jour, soit le lendemain de la fin de la mesure - celle-ci ayant pris fin le 24 février 2025 à 17h00. Dès lors, cette opposition ne peut plus déployer d’effets concrets.</w:t>
      </w:r>
    </w:p>
    <w:p>
      <w:r>
        <w:rPr>
          <w:b/>
        </w:rPr>
        <w:t>E. 3</w:t>
      </w:r>
    </w:p>
    <w:p>
      <w:r>
        <w:t>Ne présentant plus d’intérêt actuel, l’opposition est irrecevable et la cause doit être rayée du rôle.</w:t>
      </w:r>
    </w:p>
    <w:p>
      <w:r>
        <w:rPr>
          <w:b/>
        </w:rPr>
        <w:t>E. 4</w:t>
      </w:r>
    </w:p>
    <w:p>
      <w:r>
        <w:t>Il ne sera pas perçu d'émolument (art. 87 al. 1 LPA).</w:t>
      </w:r>
    </w:p>
    <w:p>
      <w:r>
        <w:t>- 3/3 - A/626/2025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