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JTAPI/20/2013 vom 7. Januar 2013</w:t>
      </w:r>
    </w:p>
    <w:p>
      <w:r>
        <w:t>GE Cour de justice, 2013-01-07, FR</w:t>
      </w:r>
    </w:p>
    <w:p>
      <w:r>
        <w:rPr>
          <w:b/>
        </w:rPr>
        <w:t xml:space="preserve">Quelle: </w:t>
      </w:r>
      <w:r>
        <w:t>https://mcp.opencaselaw.ch/entscheid/ge_gerichte_JTAPI_20_2013</w:t>
      </w:r>
    </w:p>
    <w:p>
      <w:r>
        <w:t>FR: GE_GERICHTE JTAPI/20/2013 du 7 janvier 2013</w:t>
      </w:r>
    </w:p>
    <w:p>
      <w:r>
        <w:t>IT: GE_GERICHTE JTAPI/20/2013 del 7 gennaio 2013</w:t>
      </w:r>
    </w:p>
    <w:p>
      <w:pPr>
        <w:pStyle w:val="Heading2"/>
      </w:pPr>
      <w:r>
        <w:t>Erwägungen</w:t>
      </w:r>
    </w:p>
    <w:p>
      <w:r>
        <w:rPr>
          <w:b/>
        </w:rPr>
        <w:t>E. 1</w:t>
      </w:r>
    </w:p>
    <w:p>
      <w:r>
        <w:t>Le Tribunal administratif de première instance connaît des recours dirigés, comme en l’espèce, contre des décisions de l’Administration fiscale cantonale (art. 115 et 116 de la loi sur l’organisation judiciaire du 26 septembre 2010 – LOJ – E 2 05; art. 179 al. 1 de la loi sur les droits d’enregistrement du 9 octobre 1969 - LDE – D 3 30).</w:t>
      </w:r>
    </w:p>
    <w:p>
      <w:r>
        <w:rPr>
          <w:b/>
        </w:rPr>
        <w:t>E. 2</w:t>
      </w:r>
    </w:p>
    <w:p>
      <w:r>
        <w:t>Interjeté en temps utile et dans les formes prescrites devant la juridiction compétente, le recours est recevable au sens 63 alinéa 1 et 65 de la loi sur la procédure administra- tive du 12 septembre 1985 (LPA – E 5 10).</w:t>
      </w:r>
    </w:p>
    <w:p>
      <w:r>
        <w:rPr>
          <w:b/>
        </w:rPr>
        <w:t>E. 3</w:t>
      </w:r>
    </w:p>
    <w:p>
      <w:r>
        <w:t>Le litige concerne les conséquences fiscales, prévues au titre V de la LDE, en particu- lier aux articles 33 et 61A LDE, du transfert d’un immeuble d’exploitation par A___ SA à sa société-mère, la recourante. Selon ces dispositions, il n’est perçu aucun droit en cas de restructuration en franchise d’impôts au sens de la LIFD.</w:t>
      </w:r>
    </w:p>
    <w:p>
      <w:r>
        <w:rPr>
          <w:b/>
        </w:rPr>
        <w:t>E. 4</w:t>
      </w:r>
    </w:p>
    <w:p>
      <w:r>
        <w:t>Aux termes de l'article 19 alinéa 1 LIFD, les réserves latentes d’une entreprise de per- sonnes (raison individuelle, société de personnes) ne sont pas imposées lors de restruc- turations, notamment lors d’une fusion, d’une scission ou d’une transformation, pour autant que cette entreprise reste assujettie à l’impôt en Suisse et que les éléments</w:t>
      </w:r>
    </w:p>
    <w:p>
      <w:r>
        <w:t>- 5/8 -</w:t>
      </w:r>
    </w:p>
    <w:p>
      <w:r>
        <w:t>A/3462/2011 commerciaux soient repris à leur dernière valeur déterminante pour l’impôt sur le re- venu: a. en cas de transfert d’éléments patrimoniaux à une autre entreprise de personnes; b. en cas de transfert d’une exploitation ou d’une partie distincte d’exploitation à une personne morale; c. en cas d’échange de droits de participation ou de droits de sociétariat suite à des restructurations au sens de l’article 61, alinéa 1, ainsi que suite à des concentrations équivalant économiquement à des fusions. L'alinéa 2 du même article dispose que lors d’une restructuration au sens de l’alinéa 1, lettre b, les réserves latentes transférées font l’objet d’un rappel d’impôt selon la pro- cédure prévue aux articles 151 à 153, dans la mesure où, dans les cinq ans suivant la restructuration, des droits de participation ou des droits de sociétariat sont aliénés à un prix supérieur à la valeur fiscalement déterminante du capital propre transféré; la per- sonne morale peut en ce cas faire valoir les réserves latentes correspondantes imposées comme bénéfice.</w:t>
      </w:r>
    </w:p>
    <w:p>
      <w:r>
        <w:rPr>
          <w:b/>
        </w:rPr>
        <w:t>E. 5</w:t>
      </w:r>
    </w:p>
    <w:p>
      <w:r>
        <w:t>Selon la circulaire 5 du 1er juin 2004 sur les Restructurations de l’Administration fis- cale fédérale des contributions (n. 3.2.2.3) (http://www.estv.admin.ch/bundessteuer/dokumentation/00242/00380/index.html?lang =fr; consulté le 19 décembre 2012), une exploitation ou une partie distincte d’exploitation n’est reconnue que si les exigences suivantes sont cumulativement rem- plies: l’entreprise effectue des prestations sur le marché ou à des entreprises apparen- tées; l’entreprise dispose de personnel et le coût du personnel est, par rapport aux re- cettes, conforme à l’usage. Une exploitation peut aussi comporter des actifs non nécessaires à l’exploitation (p. ex. liquidités, immeubles), à condition que l’exploitation n’occupe pas de ce fait une position subalterne, qu’elle n’ait pas été créée uniquement dans le but d’obtenir une restructuration en neutralité fiscale et qu’elle soit poursuivie dans le futur (réserve générale en matière d’évasion fiscale). La détention et l’administration de propres im- meubles constituent une exploitation dans la mesure où les exigences suivantes sont cumulativement remplies: • il y a une participation au marché ou des immeubles d’exploitation sont loués à des sociétés du groupe; • l’entreprise occupe ou mandate au moins une personne pour la gérance des im- meubles (un emploi à plein temps pour des travaux de gestion immobilière); • les rendements locatifs sont au moins vingt fois supérieurs au coût du personnel conforme au marché pour la gérance des immeubles.</w:t>
      </w:r>
    </w:p>
    <w:p>
      <w:r>
        <w:t>- 6/8 -</w:t>
      </w:r>
    </w:p>
    <w:p>
      <w:r>
        <w:t>A/3462/2011 Le chiffre 4.3.2.8, auquel la recourante s’était elle-même référée dans son courrier du 3 avril 2009 par lequel elle sollicitait un ruling, reprend ces dernières conditions. La conformité des règles susmentionnées vis-à-vis de l’article 19 LIFD n’est pas con- testée par la doctrine (Nicolas MERLINO, Dominique MORAND, Fusions, acquisi- tions et restructuration d’entreprises, 2009, p. 66 ch. 6.2.3.2).</w:t>
      </w:r>
    </w:p>
    <w:p>
      <w:r>
        <w:rPr>
          <w:b/>
        </w:rPr>
        <w:t>E. 6</w:t>
      </w:r>
    </w:p>
    <w:p>
      <w:r>
        <w:t>Il résulte de la législation et de la circulaire susmentionnées que pour assurer la neutra- lité fiscale de l’opération, le transfert vers la personne morale doit porter sur une ex- ploitation ou une partie distincte d’exploitation et que celle-ci doit poursuivre une ac- tivité économique, ce qui implique forcément l’existence de personnel rémunéré. Il s’agit en particulier d’éviter que des biens d’exploitation bénéficient de la neutralité fiscale de l’opération tout en passant d’un statut de bien d’exploitation à celui d’un simple actif. L’exploitation doit donc disposer de personnel, à savoir au moins un em- ploi à plein temps pour des travaux de gestion immobilière, dont le coût est, par rap- port aux recettes, conforme à l’usage, soit un rendement locatif au moins vingt fois su- périeur au coût du personnel conforme au marché pour la gérance des immeubles.</w:t>
      </w:r>
    </w:p>
    <w:p>
      <w:r>
        <w:rPr>
          <w:b/>
        </w:rPr>
        <w:t>E. 7</w:t>
      </w:r>
    </w:p>
    <w:p>
      <w:r>
        <w:t>En l’espèce, la question de savoir si l’immeuble d’exploitation transféré occupe une personne à plein temps pour des travaux de gestion immobilière peut rester ouverte, même si la réponse semble négative puisque cette tâche est effectuée par la régie W___ SA et qu’il est douteux que celle-ci délègue un de ses employés pour s’occuper exclusivement et à plein temps de ces travaux de gestion immobilière. La recourante le reconnaît d’ailleurs implicitement dans ses écritures en alléguant ne pas avoir été in- formée par l’administration qu’une personne devait exclusivement s’occuper de la ges- tion de la propriété en question. L’exigence d’un rendement locatif au moins vingt fois supérieurs au coût du personnel conforme au marché pour la gérance des immeubles n’est, en revanche, clairement pas réalisé. Les rendements locatifs étant de 120'000 fr., un vingtième de ce montant équi- vaut à la somme de 6'000 fr., une somme effectivement inférieure à la rémunération d’un emploi à plein temps comme stipulée par la deuxième condition de la circulaire 5 du 1er juin 2004.</w:t>
      </w:r>
    </w:p>
    <w:p>
      <w:r>
        <w:rPr>
          <w:b/>
        </w:rPr>
        <w:t>E. 8</w:t>
      </w:r>
    </w:p>
    <w:p>
      <w:r>
        <w:t>La recourante fait certes valoir qu’elle ignorait, faute d’avoir été correctement informé par l’administration, qu’une personne devait s’occuper exclusivement de la gestion de la propriété en question et que son salaire devait être de l’ordre de 65'000 fr. par an. Cette méconnaissance ne peut pas être imputée à l’administration. La simple lecture de la circulaire 5 du 1er juin 2004, à laquelle la recourante s’était elle-même référée sur ce point dans le cadre du ruling, permet en effet de comprendre l’exigence qu’il existe du personnel rémunéré pour admettre une continuité de l’exploitation, que ledit personnel doit être équivalant à au moins un emploi à plein temps pour les travaux de gestion immobilière et que les rendements locatifs doivent être au moins vingt fois supérieurs au coût dudit personnel. Le fait de fixer le salaire moyen annuel d’un employé à</w:t>
      </w:r>
    </w:p>
    <w:p>
      <w:r>
        <w:t>- 7/8 -</w:t>
      </w:r>
    </w:p>
    <w:p>
      <w:r>
        <w:t>A/3462/2011 65'000 fr. n’est pas insolite, comme le prétend la recourante, mais correspond à une es- timation du salaire brut calculé par l’Observatoire genevois du marché du travail (www.ge.ch/ogmt). En outre, l’administration a, dans sa lettre du 30 avril 2009, donné son accord quant à la neutralité fiscale de l’opération sous réserve du respect des con- ditions établies par la circulaire 5 du 1er juin 2004. La recourante soutient que l’administration aurait purement et simplement dû refuser le ruling dès le départ, se plaignant ainsi implicitement d’une violation de la bonne foi. Elle occulte toutefois que l’administration ne lui a pas assuré la neutralité fiscale de l’opération, puisqu’elle a expressément réservé notamment la rémunération d’un em- ploi à plein temps comme stipulée par la circulaire susmentionnée. La recourante se plaint également d’une inégalité de traitement due aux exigences complémentaires élevées de l’administration entre une petite structure et une société disposant d’un parc immobilier important. Elle occulte cependant que cette inégalité de traitement, qui se réalise effectivement selon l’importance du parc d’immeubles, découle de la législation elle-même. La neutralité fiscale instaurée par l’article 19 ali- néa 1 lettre b LIFD est conditionnée à la poursuite d’une exploitation, et donc sa viabi- lité économique. Cette norme légale n’a pas pour but de permettre que n’importe quelle restructuration bénéficie de la neutralité fiscale.</w:t>
      </w:r>
    </w:p>
    <w:p>
      <w:r>
        <w:rPr>
          <w:b/>
        </w:rPr>
        <w:t>E. 9</w:t>
      </w:r>
    </w:p>
    <w:p>
      <w:r>
        <w:t>Au vu de ce qui précède, le recours sera rejeté et la décision entreprise confirmée.</w:t>
      </w:r>
    </w:p>
    <w:p>
      <w:r>
        <w:rPr>
          <w:b/>
        </w:rPr>
        <w:t>E. 10</w:t>
      </w:r>
    </w:p>
    <w:p>
      <w:r>
        <w:t>En application des articles 144 alinéa 1 LIFD, 52 alinéa 1 LPFisc, 87 alinéa 1 LPA et 1 et 2 du règlement genevois sur les frais, émoluments et indemnités en procédure ad- ministrative (RFPA – E 5 10.03), la contribuable, qui succombe, est condamnée au paiement d’un émolument s'élevant à 500 fr.; il est couvert par l’avance de frais versée à la suite du dépôt du recours</w:t>
      </w:r>
    </w:p>
    <w:p>
      <w:r>
        <w:t>- 8/8 -</w:t>
      </w:r>
    </w:p>
    <w:p>
      <w:r>
        <w:t>A/3462/2011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