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JTAPI/209/2024 vom 11. März 2024</w:t>
      </w:r>
    </w:p>
    <w:p>
      <w:r>
        <w:t>GE Cour de justice, 2024-03-11, FR</w:t>
      </w:r>
    </w:p>
    <w:p>
      <w:r>
        <w:rPr>
          <w:b/>
        </w:rPr>
        <w:t xml:space="preserve">Quelle: </w:t>
      </w:r>
      <w:r>
        <w:t>https://mcp.opencaselaw.ch/entscheid/ge_gerichte_JTAPI_209_2024</w:t>
      </w:r>
    </w:p>
    <w:p>
      <w:r>
        <w:t>FR: GE_GERICHTE JTAPI/209/2024 du 11 mars 2024</w:t>
      </w:r>
    </w:p>
    <w:p>
      <w:r>
        <w:t>IT: GE_GERICHTE JTAPI/209/2024 del 11 marzo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À titre préalable, le recourant sollicite son audition. 4. 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ne soit prise,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(cf. ATF 145 I 167 consid. 4.1 ; 140 I 285 consid. 6.3.1 et les arrêts cités ; arrêts du Tribunal fédéral 2C_725/2019 du 12 septembre 2019 consid. 4.1 ; 2C_1125/2018 du 7 janvier 2019 consid. 5.1 ; 1C_212/2018 du 24 avril 2019 consid. 4.1).</w:t>
      </w:r>
    </w:p>
    <w:p>
      <w:r>
        <w:rPr>
          <w:b/>
        </w:rPr>
        <w:t>E. 6</w:t>
      </w:r>
    </w:p>
    <w:p>
      <w:r>
        <w:t>Le droit d'être entendu ne comprend pas le droit d'être entendu oralement (cf. not. art. 41 in fine LPA ; ATF 140 I 68 consid. 9.6.1 ; 134 I 140 consid. 5.3 ; 130 II 425 consid. 2.1 ; arrêts du Tribunal fédéral 5D_204/2016 du 15 mars 2017 consid. 4.4 ; 5A_792/2016 du 23 janvier 2017 consid. 3.4 ; ATA/1637/2017 du 19 décembre 2017 consid. 3d), ni celui d'obtenir l'audition de témoins (ATF 130 II 425 consid. 2.1 ; arrêts du Tribunal fédéral 2C_725/2019 du 12 septembre 2019 consid. 4.1).</w:t>
      </w:r>
    </w:p>
    <w:p>
      <w:r>
        <w:rPr>
          <w:b/>
        </w:rPr>
        <w:t>E. 7</w:t>
      </w:r>
    </w:p>
    <w:p>
      <w:r>
        <w:t>En l’espèce, le recourant a eu l’occasion de s’exprimer par écrit à plusieurs reprises durant la présente procédure, d’exposer son point de vue et de produire toutes les pièces qu’il estimait utiles à l’appui de ses allégués. L’autorité intimée a également</w:t>
      </w:r>
    </w:p>
    <w:p>
      <w:r>
        <w:t>- 6/14 - A/3386/2023 répondu à son recours, se prononçant sur les griefs qu’elle estimait pertinents pour l’issue du litige et il s’est vu octroyer la possibilité de répliquer, ce qu'il n’a pas fait. Le dossier comporte en outre tous les éléments pertinents et nécessaires à l’examen des griefs et arguments mis en avant par les parties, permettant ainsi au tribunal de se forger une opinion et de trancher le litige, de sorte qu’il n’y a pas lieu de procéder à la comparution personnelle du recourant, cet acte d'instruction n'étant au demeurant pas obligatoire.</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Le recourant conteste l'appréciation de l'OCPM des critères de reconnaissance d'un cas individuel d'une extrême gravité.</w:t>
      </w:r>
    </w:p>
    <w:p>
      <w:r>
        <w:rPr>
          <w:b/>
        </w:rPr>
        <w:t>E. 11</w:t>
      </w:r>
    </w:p>
    <w:p>
      <w:r>
        <w:t>La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ce qui est le cas pour les ressortissants du Pérou.</w:t>
      </w:r>
    </w:p>
    <w:p>
      <w:r>
        <w:rPr>
          <w:b/>
        </w:rPr>
        <w:t>E. 12</w:t>
      </w:r>
    </w:p>
    <w:p>
      <w:r>
        <w:t>Selon l'art. 30 al. 1 let. b LEI, il est possible de déroger aux conditions d'admission d'un étranger en Suisse pour tenir compte des cas individuels d'extrême gravité.</w:t>
      </w:r>
    </w:p>
    <w:p>
      <w:r>
        <w:rPr>
          <w:b/>
        </w:rPr>
        <w:t>E. 13</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w:t>
      </w:r>
    </w:p>
    <w:p>
      <w:r>
        <w:t>- 7/14 - A/3386/2023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14</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15</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w:t>
      </w:r>
    </w:p>
    <w:p>
      <w:r>
        <w:rPr>
          <w:b/>
        </w:rPr>
        <w:t>E. 16</w:t>
      </w:r>
    </w:p>
    <w:p>
      <w:r>
        <w:t>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17</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t>- 8/14 - A/3386/2023</w:t>
      </w:r>
    </w:p>
    <w:p>
      <w:r>
        <w:rPr>
          <w:b/>
        </w:rPr>
        <w:t>E. 18</w:t>
      </w:r>
    </w:p>
    <w:p>
      <w:r>
        <w:t>février 2019 consid. 5.6 et les références citées ; ATA/895/2018 du 4 septembre 2018 consid. 8).</w:t>
      </w:r>
    </w:p>
    <w:p>
      <w:r>
        <w:t>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w:t>
      </w:r>
    </w:p>
    <w:p>
      <w:r>
        <w:rPr>
          <w:b/>
        </w:rPr>
        <w:t>E. 19</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 A été considérée comme une durée assez brève la présence de deux ans et</w:t>
      </w:r>
    </w:p>
    <w:p>
      <w:r>
        <w:t>- 9/14 - A/3386/2023 demi, entre 2006 et 2008, puis de trois ans, entre mai 2009 et mai 2012 (arrêt du Tribunal administratif fédéral C-5048/2010 du 7 mai 2012 ; Minh Son NGUYEN/Cesla AMARELLE, op. cit., p. 269). Par durée assez longue, la jurisprudence entend une période de sept à huit ans (arrêt du Tribunal administratif fédéral C-7330/2010 du 19 mars 2012 ; ATA/667/2021 du 29 juin 2021 consid. 6c ; ATA/1306/2020 du 15 décembre 2020 consid. 5b ; ATA/1538/2017 du 28 novembre 2017 ; Minh Son NGUYEN/Cesla AMARELLE, op. cit., p. 269). Le caractère continu ou non du séjour peut avoir une influence (ATA/847/2021 du</w:t>
      </w:r>
    </w:p>
    <w:p>
      <w:r>
        <w:rPr>
          <w:b/>
        </w:rPr>
        <w:t>E. 24</w:t>
      </w:r>
    </w:p>
    <w:p>
      <w:r>
        <w:t>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w:t>
      </w:r>
    </w:p>
    <w:p>
      <w:r>
        <w:t>- 11/14 - A/3386/2023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w:t>
      </w:r>
    </w:p>
    <w:p>
      <w:r>
        <w:t>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ATA/404/2021 du 13 avril 2021 consid. 7 ; arrêt du Tribunal administratif fédéral F-6053/2017 du 13 février 2020 consid. 8.2.1).</w:t>
      </w:r>
    </w:p>
    <w:p>
      <w:r>
        <w:rPr>
          <w:b/>
        </w:rPr>
        <w:t>E. 25</w:t>
      </w:r>
    </w:p>
    <w:p>
      <w:r>
        <w:t>L'octroi d'une autorisation de séjour dans un cas individuel d'une extrême gravité est soumis au SEM (art. 99 LEI ; art. 85 al. 1 et 2 et 86 al. 5 OASA ; art. 5 let. d de l'ordonnance du DFJP relative aux autorisations soumises à la procédure d'approbation et aux décisions préalables dans le domaine du droit des étrangers du 13 août 2015 - RS 142.201.1), ce qui suppose que l'autorité cantonale se soit au préalable déclarée disposée à octroyer une autorisation de séjour à l'étranger concerné (cf. Directives et circulaires du SEM, Domaine des étrangers, état au 15 décembre 2021, ch. 5.6.).</w:t>
      </w:r>
    </w:p>
    <w:p>
      <w:r>
        <w:rPr>
          <w:b/>
        </w:rPr>
        <w:t>E. 26</w:t>
      </w:r>
    </w:p>
    <w:p>
      <w:r>
        <w:t>Dans le cadre de l'exercice de leur pouvoir d'appréciation, les autorités compétentes doivent tenir compte des intérêts publics, de la situation personnelle de l'étranger, ainsi que de son degré d'intégration (art. 96 al. 1 LEI).</w:t>
      </w:r>
    </w:p>
    <w:p>
      <w:r>
        <w:t>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t>- 12/14 - A/3386/2023</w:t>
      </w:r>
    </w:p>
    <w:p>
      <w:r>
        <w:rPr>
          <w:b/>
        </w:rPr>
        <w:t>E. 27</w:t>
      </w:r>
    </w:p>
    <w:p>
      <w:r>
        <w:t>En l’espèce, le recourant indique être arrivé en Suisse en septembre 2016. L’OCPM retient pour sa part un séjour continu depuis septembre 2017. En tout état, même à retenir la durée - de sept ans - la plus favorable au recourant, celle-ci, bien que significative, ne correspond encore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ce d’autant plus que ce séjour s’est déroulé dans l’illégalité et qu’il se poursuit, depuis le dépôt de sa demande d'autorisation en décembre le 1er juin 2023, au bénéfice d'une simple tolérance. Or, il ne peut déduire des droits résultant d'un état de fait créé en violation de la loi. Il ne peut en tout cas pas tirer parti de la seule durée de son séjour en Suisse, qui doit en l'occurrence être fortement relativisée, pour bénéficier d'une dérogation aux conditions d'admission (cf. ATA/169/2015 du 17 février 2015 consid. 8). Il ne faut également pas perdre de vue que le recourant faisait l'objet d'une IES valable jusqu’au 13 septembre 2025 et à laquelle il ne s'est pas conformé. Partant, la durée de son séjour ne saurait, en soi, être déterminante. Son intégration socio-professionnelle en Suisse ne saurait être qualifiée de remarquable ou d’exceptionnelle. Même s'il parvient à subvenir à ses besoins et n’a jamais émargé à l’aide sociale, ces éléments ne sont pas encore constitutifs d’une intégration exceptionnelle au sens de la jurisprudence. De plus, salarié au sein d’un pressing-blanchisserie, il ne peut se prévaloir d’avoir acquis en Suisse des connaissances ou des qualifications si spécifiques qu'il ne pourrait les utiliser dans son pays. Il n’a pas non plus fait preuve d'une ascension professionnelle remarquable au point de justifier la poursuite de son séjour en Suisse. Par ailleurs, arrivé en Suisse à l’âge de 28 ans, il a passé toute son enfance, son adolescence et une partie de sa vie d’adulte dans son pays d'origine, où il était par ailleurs inséré sur le marché du travail. Il en maîtrise dès lors la langue ainsi que les us et coutumes. Au vu de ces éléments, de la durée de son séjour en Suisse et de sa faible intégration socio-professionnelle, sa réintégration au Pérou n’apparaît nullement compromise. Il pourra en outre y faire valoir les compétences linguistiques et professionnelles acquises à Genève. S'agissant de la mineure B______, désormais âgée de 15 ans, celle-ci indique être arrivée en Suisse en 2022, étant précisé qu’à teneur des pièces du dossier, elle était domiciliée jusqu’en septembre 2022 chez sa mère au Pérou. Elle a débuté sa scolarité à Genève en février 2023 en classe d'accueil. Bien qu'étant entrée dans la phase de l'adolescence, vu la faible durée de son séjour en Suisse, un départ, avec son père au Pérou, ne saurait constituer un déracinement pour elle, ce d'autant qu'elle y a vécu depuis sa naissance, de sorte qu'elle en maitrise manifestement la langue et les us et coutumes, et qui vivent sa mère et sa soeur. La décision querellée n’a ainsi pas pour effet de séparer la famille, bien au contraire. Ainsi, au vu de l'ensemble de ces circonstances, l'appréciation que l'autorité intimée a faite de la situation des recourants sous l'angle des art. 30 al. 1 let. b LEI et</w:t>
      </w:r>
    </w:p>
    <w:p>
      <w:r>
        <w:t>- 13/14 - A/3386/2023</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32</w:t>
      </w:r>
    </w:p>
    <w:p>
      <w:r>
        <w:t>Vu l’issue du litige, aucune indemnité de procédure ne sera allouée (art. 87 al. 2 LPA).</w:t>
      </w:r>
    </w:p>
    <w:p>
      <w:r>
        <w:rPr>
          <w:b/>
        </w:rPr>
        <w:t>E. 33</w:t>
      </w:r>
    </w:p>
    <w:p>
      <w:r>
        <w:t>En vertu des art. 89 al. 2 et 111 al. 2 de la loi sur le Tribunal fédéral du 17 juin 2005 (LTF - RS 173.110), le présent jugement sera communiqué au SEM.</w:t>
      </w:r>
    </w:p>
    <w:p>
      <w:r>
        <w:t>- 14/14 - A/3386/2023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