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JTAPI/207/2025 vom 24. Februar 2025</w:t>
      </w:r>
    </w:p>
    <w:p>
      <w:r>
        <w:t>GE Cour de justice, 2025-02-24, FR</w:t>
      </w:r>
    </w:p>
    <w:p>
      <w:r>
        <w:rPr>
          <w:b/>
        </w:rPr>
        <w:t xml:space="preserve">Quelle: </w:t>
      </w:r>
      <w:r>
        <w:t>https://mcp.opencaselaw.ch/entscheid/ge_gerichte_JTAPI_207_2025</w:t>
      </w:r>
    </w:p>
    <w:p>
      <w:r>
        <w:t>FR: GE_GERICHTE JTAPI/207/2025 du 24 février 2025</w:t>
      </w:r>
    </w:p>
    <w:p>
      <w:r>
        <w:t>IT: GE_GERICHTE JTAPI/207/2025 del 24 febbraio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23 février 2025 à 15h47.</w:t>
      </w:r>
    </w:p>
    <w:p>
      <w:r>
        <w:rPr>
          <w:b/>
        </w:rPr>
        <w:t>E. 3</w:t>
      </w:r>
    </w:p>
    <w:p>
      <w:r>
        <w:t>A teneur de l'art. 76 al. 1 let. b ch. 1 LEI, en lien avec l'art. 75 al. 1 LEI, lorsqu'une décision de renvoi de première instance ou une expulsion pénale au sens des art. 66a ou 66abis CP a été notifiée, l'autorité compétente peut, afin d'en assurer l'exécution, mettre en détention la personne concernée lorsqu'elle franchit la frontière malgré une interdiction d'entrer en Suisse et ne peut pas être renvoyée immédiatement (let. c) ou lorsqu’elle a été condamnée pour crime (let. h).</w:t>
      </w:r>
    </w:p>
    <w:p>
      <w:r>
        <w:rPr>
          <w:b/>
        </w:rPr>
        <w:t>E. 3.1</w:t>
      </w:r>
    </w:p>
    <w:p>
      <w:r>
        <w:t>; 2C_756/2009 du 15 décembre 2009 consid. 2.1).</w:t>
      </w:r>
    </w:p>
    <w:p>
      <w:r>
        <w:rPr>
          <w:b/>
        </w:rPr>
        <w:t>E. 4</w:t>
      </w:r>
    </w:p>
    <w:p>
      <w:r>
        <w:t>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w:t>
      </w:r>
    </w:p>
    <w:p>
      <w:r>
        <w:t>- 5/7 - A/602/2025</w:t>
      </w:r>
    </w:p>
    <w:p>
      <w:r>
        <w:rPr>
          <w:b/>
        </w:rPr>
        <w:t>E. 5</w:t>
      </w:r>
    </w:p>
    <w:p>
      <w:r>
        <w:t>Il découle de la jurisprudence qu'une décision d'expulsion pénale au sens des art. 66a ou 66abis CP vaut comme interdiction d'entrée pour la durée prononcée par le juge pénal (ATA/179/2018 du 27 février 2018 consid. 4).</w:t>
      </w:r>
    </w:p>
    <w:p>
      <w:r>
        <w:rPr>
          <w:b/>
        </w:rPr>
        <w:t>E. 6</w:t>
      </w:r>
    </w:p>
    <w:p>
      <w:r>
        <w:t>En l'espèce, M. A______ a fait l’objet d’une décision d’expulsion judiciaire pour une durée de cinq ans, prononcée par le tribunal de police le 31 juillet 2023. Selon ses propres déclarations faites à la police le 22 février 2025, il s’était rendu en France en mars 2024, avant de revenir à Genève. Par conséquent, il a violé la mesure d’expulsion judiciaire prononcée à son encontre et les conditions légales de sa détention administrative sont ainsi réalisées sur le principe.</w:t>
      </w:r>
    </w:p>
    <w:p>
      <w:r>
        <w:rPr>
          <w:b/>
        </w:rPr>
        <w:t>E. 7</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En l'espèce, par l’intermédiaire de son conseil, M. A______ soutient que ses problèmes de santé impliqueraient la levée de sa détention, car il aurait besoin d‘une certaine liberté pour pouvoir procéder à certains examens médicaux. Cependant, il n’explique pas de façon plus spécifique en quoi sa détention actuelle l’empêcherait d’accéder à des soins ou aux examens dont il pourrait éventuellement avoir besoin, preuve en est d’ailleurs l’analyse de sang qui doit avoir lieu suite à l’intervention médicale qui a eu lieu ce jour même. Par ailleurs, le tribunal relèvera que les</w:t>
      </w:r>
    </w:p>
    <w:p>
      <w:r>
        <w:t>- 6/7 - A/602/2025 problèmes de santé dont se prévaut M. A______ ne sont eux-mêmes pas documentés. Quant à la question de savoir si une autre mesure que la détention administrative serait propre à permettre l’expulsion de M. A______ à destination de l’Algérie, elle doit vraisemblablement être tranchée par la négative. En effet, le précité a non seulement été condamné à huit reprises pour divers types d’infractions pénales, ce qui montre le peu de cas qu’il fait de l’ordre juridique, mais il n’a pas respecté non plus l’interdiction de revenir en Suisse après qu’il en soit parti, alors que cette interdiction déploiera ses effets encore quelques années. Dans ces conditions, on ne voit pas ce qui amènerait désormais M. A______ à se soumettre à cette obligation, s’il n’y était pas contraint par sa détention. Les autorités suisses ont par ailleurs procédé avec diligence dans son dossier et M. A______ ne prétend du reste pas le contraire. Enfin, s’agissant de la durée de sa détention, prononcée pour quatre mois, M. A______ en demande la réduction à une durée n’excédant pas deux mois. Il explique à ce sujet que sa détention ne saurait excéder ce qui est a priori nécessaire pour lui permettre d’être présenté en vue de l’entretien consulaire, lequel devrait avoir lieu en avril 2025. Le tribunal ne saurait suivre ce raisonnement, le commissaire de police ayant clairement indiqué qu’une place sur un vol ne pourrait être réservée suite à l’approbation des autorités algériennes qu’en respectant un intervalle d’au moins 30 jours ouvrables. Ainsi, même si l’entretien consulaire devait effectivement avoir lieu en avril 2025, et non pas à la fin de ce mois-là ou même en mai 2025, il faudrait ensuite attendre la réponse des autorités consulaires algériennes, ce qui peut encore prendre plusieurs jours, puis procéder à la réservation d’un vol en respectant les délais obtenu ci-dessus. Compte tenu de cet enchaînement une détention d’une durée de quatre mois n’apparait de loin pas disproportionnée pour permettre l’exécution du renvoi de M. A______.</w:t>
      </w:r>
    </w:p>
    <w:p>
      <w:r>
        <w:rPr>
          <w:b/>
        </w:rPr>
        <w:t>E. 12</w:t>
      </w:r>
    </w:p>
    <w:p>
      <w:r>
        <w:t>Au vu de ce qui précède, il y a lieu de confirmer l'ordre de mise en détention administrative de M. A______ pour une durée de quatre mois.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A/602/2025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