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JTAPI/206/2023 vom 2. August 2022</w:t>
      </w:r>
    </w:p>
    <w:p>
      <w:r>
        <w:t>GE Cour de justice, 2022-08-02, FR</w:t>
      </w:r>
    </w:p>
    <w:p>
      <w:r>
        <w:rPr>
          <w:b/>
        </w:rPr>
        <w:t xml:space="preserve">Quelle: </w:t>
      </w:r>
      <w:r>
        <w:t>https://mcp.opencaselaw.ch/entscheid/ge_gerichte_JTAPI_206_2023</w:t>
      </w:r>
    </w:p>
    <w:p>
      <w:r>
        <w:t>FR: GE_GERICHTE JTAPI/206/2023 du 2 août 2022</w:t>
      </w:r>
    </w:p>
    <w:p>
      <w:r>
        <w:t>IT: GE_GERICHTE JTAPI/206/2023 del 2 agosto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fait valoir son ignorance de la réglementation suisse en matière de limitation de vitesse, le fait qu'il faisait nuit et qu'il y avait peu de circulation de sorte qu'il avait cru que la vitesse était limitée à 70 km/h sur le tronçon en question. 4. Aux termes de l’art. 21 du Code pénal suisse du 21 décembre 1937 (CP - RS 311.0), quiconque ne sait ni ne peut savoir au moment d'agir que son comportement est illicite n'agit pas de manière coupable. Le juge atténue la peine si l'erreur était évitable. Une erreur sur l’illicéité n’est pas encore réalisée lorsque l’auteur tient par erreur son comportement pour non punissable, mais seulement s’il ne sait pas et ne peut pas savoir qu’il se comporte de manière contraire au droit (ATF 138 IV 13 consid. 8.2 p. 27 = JdT 2012 IV 263 consid. 8.2 p. 276).</w:t>
      </w:r>
    </w:p>
    <w:p>
      <w:r>
        <w:rPr>
          <w:b/>
        </w:rPr>
        <w:t>E. 5</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w:t>
      </w:r>
    </w:p>
    <w:p>
      <w:r>
        <w:t>- 4/8 - A/2850/2022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1C_312/2015 du 1er juillet 2015 consid. 3.1; 1C_631/2014 du 20 mars 2015 consid. 2.1).</w:t>
      </w:r>
    </w:p>
    <w:p>
      <w:r>
        <w:rPr>
          <w:b/>
        </w:rPr>
        <w:t>E. 6</w:t>
      </w:r>
    </w:p>
    <w:p>
      <w:r>
        <w:t>En l'occurrence, le recourant a été condamné par ordonnance pénale du 21 avril 2022 pour infractions aux art. 27, 32 et 90 de la loi fédérale sur la circulation routière du 19 décembre 1958 (LCR - RS 741.01), aux art. 4a et 5 de l'ordonnance sur les règles de la circulation routière du 13 novembre 1962 (OCR - RS 741.11) et à l'art. 22 de l'ordonnance sur la signalisation routière du 5 septembre 1979 (OSR - RS 741.21) en raison d’un dépassement de la vitesse maximale autorisée de 24 km/h sur un tronçon où la vitesse était limitée à 40 km/h. Le prononcé pénal n'ayant pas été contesté, il n'est plus possible de revenir sur les faits constatés dans ce cadre dans la procédure administrative (cf. arrêt du Tribunal fédéral 1C_312/2015 du 1er juillet 2015 consid. 3.2 ; ATA/70/2012 du 31 janvier 2012 consid. 3). Dans ces conditions, le recourant n'est plus fondé à invoquer une erreur sur l'illicéité devant le tribunal de céans.</w:t>
      </w:r>
    </w:p>
    <w:p>
      <w:r>
        <w:rPr>
          <w:b/>
        </w:rPr>
        <w:t>E. 7</w:t>
      </w:r>
    </w:p>
    <w:p>
      <w:r>
        <w:t>Lorsque la procédure prévue par la loi fédérale sur les amendes d'ordre du 24 juin 1970 (LAO - RS 741.03) n'est pas applicable, une infraction aux prescriptions sur la circulation routière entraîne le retrait du permis de conduire ou un avertissement (art. 16 al. 2 de la loi fédérale sur la circulation routière - LCR - RS 101).</w:t>
      </w:r>
    </w:p>
    <w:p>
      <w:r>
        <w:rPr>
          <w:b/>
        </w:rPr>
        <w:t>E. 8</w:t>
      </w:r>
    </w:p>
    <w:p>
      <w:r>
        <w:t>Pour déterminer la durée et s'il y a lieu de prononcer un retrait d'admonestation, la LCR distingue les infractions légères, moyennement graves et graves (art. 16a à 16c LCR).</w:t>
      </w:r>
    </w:p>
    <w:p>
      <w:r>
        <w:t>- 5/8 - A/2850/2022</w:t>
      </w:r>
    </w:p>
    <w:p>
      <w:r>
        <w:rPr>
          <w:b/>
        </w:rPr>
        <w:t>E. 9</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let. a LCR, la personne qui, en violant gravement les règles de la circulation, met sérieusement en danger la sécurité d'autrui ou en prend le risque.</w:t>
      </w:r>
    </w:p>
    <w:p>
      <w:r>
        <w:rPr>
          <w:b/>
        </w:rPr>
        <w:t>E. 10</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 du Tribunal fédéral 1C_216/2009 du 14 septembre 2009 consid. 5.2 et les références citées).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 tout examen des circonstances du cas concret. En effet, il y a notamment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et la référence citée).</w:t>
      </w:r>
    </w:p>
    <w:p>
      <w:r>
        <w:rPr>
          <w:b/>
        </w:rPr>
        <w:t>E. 11</w:t>
      </w:r>
    </w:p>
    <w:p>
      <w:r>
        <w:t>Aux termes de l'art. 16b al. 2 let. a LCR, après une infraction moyennement grave, le permis de conduire est retiré pour un mois au minimum.</w:t>
      </w:r>
    </w:p>
    <w:p>
      <w:r>
        <w:rPr>
          <w:b/>
        </w:rPr>
        <w:t>E. 12</w:t>
      </w:r>
    </w:p>
    <w:p>
      <w:r>
        <w:t>Si des circonstances telles que la gravité de la faute, les antécédents ou la nécessité professionnelle de conduire un véhicule automobile doivent être prises</w:t>
      </w:r>
    </w:p>
    <w:p>
      <w:r>
        <w:t>- 6/8 - A/2850/2022 en compte pour fixer la durée du retrait, la durée minimale prévue par la loi ne peut pas être réduite (art. 16 al. 3 LCR). La règle contenue dans cette disposition,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En d'autres termes,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ne peuvent avoir pour effet de réduire davantage la sanction (ATF 132 II 234 consid. 2.3).</w:t>
      </w:r>
    </w:p>
    <w:p>
      <w:r>
        <w:rPr>
          <w:b/>
        </w:rPr>
        <w:t>E. 13</w:t>
      </w:r>
    </w:p>
    <w:p>
      <w:r>
        <w:t>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w:t>
      </w:r>
    </w:p>
    <w:p>
      <w:r>
        <w:rPr>
          <w:b/>
        </w:rPr>
        <w:t>E. 14</w:t>
      </w:r>
    </w:p>
    <w:p>
      <w:r>
        <w:t>Les règles et principes énoncés ci-dessus sont donc applicables mutatis mutandis à l'interdiction de faire usage du permis de conduire étranger, notamment français, sur le territoire suisse.</w:t>
      </w:r>
    </w:p>
    <w:p>
      <w:r>
        <w:rPr>
          <w:b/>
        </w:rPr>
        <w:t>E. 15</w:t>
      </w:r>
    </w:p>
    <w:p>
      <w:r>
        <w:t>En l'espèce, le dépassement de la vitesse maximale autorisée imputable au recourant est de 24 km/h à l'intérieur d'une localité, étant rappelé que les faits retenus par le juge pénal lient le tribunal comme vu plus haut, de sorte que l’infraction doit effectivement être qualifiée de moyennement grave au sens de l’art. 16b al. 1 let. a LCR en lien avec la jurisprudence en matière de dépassement de vitesse. C'est ainsi à juste titre que le recourant a fait l'objet d'une interdiction de faire usage du permis de conduire étranger sur le territoire suisse pour une durée d'un mois, en application des art. 16b al. 2 let. a LCR et 42 de la convention sur la circulation routière du 8 novembre 1968, dans la mesure où l'OCV ne s'est pas écarté du minimum légal prévu par l'art. 16b al. 2 let. a LCR.</w:t>
      </w:r>
    </w:p>
    <w:p>
      <w:r>
        <w:t>- 7/8 - A/2850/2022 Devant impérativement se tenir à une telle mesure, l'OCV, qui ne pouvait prendre en considération ni les circonstances du cas d'espèce ni les besoins professionnels allégués par le recourant, a donc correctement appliqué les règles en vigueur et n'a pas excédé ou abusé de son pouvoir d'appréciation. Les éléments que le recourant invoque en l'espèce (conduite de nuit, absence d’autres automobilistes) ne sont enfin pas de ceux qui permettraient de faire abstraction de la limitation de vitesse et de considérer l'infraction comme étant un cas de gravité légère (cf dans ce sens arrêt du Tribunal fédéral 1C_55/2014 du 9 janvier 2015, consid. 3.2 ; 1C_194/2009 du 11 septembre 2009, consid. 3.4) Enfin, la législation suisse ne prévoit pas la possibilité d'autoriser une personne sous retrait de permis à conduire sur certaines parties du territoire.</w:t>
      </w:r>
    </w:p>
    <w:p>
      <w:r>
        <w:rPr>
          <w:b/>
        </w:rPr>
        <w:t>E. 16</w:t>
      </w:r>
    </w:p>
    <w:p>
      <w:r>
        <w:t>Entièrement mal fondé, le recours sera rejeté et la décision de l'OCV confirmée.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t>- 8/8 - A/2850/2022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