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JTAPI/201/2024 vom 7. März 2024</w:t>
      </w:r>
    </w:p>
    <w:p>
      <w:r>
        <w:t>GE Cour de justice, 2024-03-07, FR</w:t>
      </w:r>
    </w:p>
    <w:p>
      <w:r>
        <w:rPr>
          <w:b/>
        </w:rPr>
        <w:t xml:space="preserve">Quelle: </w:t>
      </w:r>
      <w:r>
        <w:t>https://mcp.opencaselaw.ch/entscheid/ge_gerichte_JTAPI_201_2024</w:t>
      </w:r>
    </w:p>
    <w:p>
      <w:r>
        <w:t>FR: GE_GERICHTE JTAPI/201/2024 du 7 mars 2024</w:t>
      </w:r>
    </w:p>
    <w:p>
      <w:r>
        <w:t>IT: GE_GERICHTE JTAPI/201/2024 del 7 marzo 2024</w:t>
      </w:r>
    </w:p>
    <w:p>
      <w:pPr>
        <w:pStyle w:val="Heading2"/>
      </w:pPr>
      <w:r>
        <w:t>Erwägungen</w:t>
      </w:r>
    </w:p>
    <w:p>
      <w:r>
        <w:rPr>
          <w:b/>
        </w:rPr>
        <w:t>E. 1</w:t>
      </w:r>
    </w:p>
    <w:p>
      <w:r>
        <w:t>Le Tribunal administratif de première instance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peut être demandé à tout moment.</w:t>
      </w:r>
    </w:p>
    <w:p>
      <w:r>
        <w:rPr>
          <w:b/>
        </w:rPr>
        <w:t>E. 3</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w:t>
      </w:r>
    </w:p>
    <w:p>
      <w:r>
        <w:t>- 6/9 - A/759/2024 not. JTAPI/803/2019 du 6 septembre 2019 ; JTAPI/720/2018 du 27 août 2018 ; JTAPI/13172018 du 13 février 2018 ; cf. aussi ATA/557/2017 du 16 mai 2017).</w:t>
      </w:r>
    </w:p>
    <w:p>
      <w:r>
        <w:rPr>
          <w:b/>
        </w:rPr>
        <w:t>E. 4</w:t>
      </w:r>
    </w:p>
    <w:p>
      <w:r>
        <w:t>En l'espèce, M. A______ a dûment requis du tribunal qu'il contrôle la légalité et l'adéquation de sa détention.</w:t>
      </w:r>
    </w:p>
    <w:p>
      <w:r>
        <w:rPr>
          <w:b/>
        </w:rPr>
        <w:t>E. 5</w:t>
      </w:r>
    </w:p>
    <w:p>
      <w:r>
        <w:t>Le tribunal peut confirmer, réformer ou annuler la décision du commissaire de police ; le cas échéant, il ordonne la mise en liberté de l'étranger (cf. art.</w:t>
      </w:r>
    </w:p>
    <w:p>
      <w:r>
        <w:rPr>
          <w:b/>
        </w:rPr>
        <w:t>E. 5.1</w:t>
      </w:r>
    </w:p>
    <w:p>
      <w:r>
        <w:t>et les références citées ; cf. ATF 130 II 425 consid. 5.2). 16. M. A______ n'a aucune attache particulière en Suisse ni domicile fixe. On ne sait pas comment il vit, étant apparemment sans travail. Dès lors, aucune autre mesure que la détention n'apparaît susceptible d'être apte à assurer son départ vers la Slovénie, étant rappelé que le risque de fuite, respectivement de passage dans la clandestinité est concret. 17. En ce qui concerne la durée de la détention, l'ordre de mise en détention du 26 février 2024 sera limitée à un mois, compte tenu de la confirmation des autorités slovènes du 4 mars 2014 qu’elles acceptent de reprendre en charge M. A______, de l’acceptation de M. A______ de retourner en Slovénie et des vols possibles vers la Slovénie dans un avenir proche.</w:t>
      </w:r>
    </w:p>
    <w:p>
      <w:r>
        <w:rPr>
          <w:b/>
        </w:rPr>
        <w:t>E. 5.3</w:t>
      </w:r>
    </w:p>
    <w:p>
      <w:r>
        <w:t>;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w:t>
      </w:r>
    </w:p>
    <w:p>
      <w:r>
        <w:rPr>
          <w:b/>
        </w:rPr>
        <w:t>E. 9</w:t>
      </w:r>
    </w:p>
    <w:p>
      <w:r>
        <w:t>L'art. 76a al. 2 LEI mentionne les éléments concrets dont il s'agit de conclure qu'il y a lieu de craindre que l’étranger entend se soustraire à l’exécution du renvoi. Il en va ainsi si son comportement en Suisse ou à l’étranger permet de conclure qu’il refuse d’obtempérer aux instructions des autorités (let. b) ou s’il franchit la frontière</w:t>
      </w:r>
    </w:p>
    <w:p>
      <w:r>
        <w:t>- 7/9 - A/759/2024 malgré une interdiction d’entrer en Suisse et ne peut être renvoyé immédiatement (let. e). L’expulsion pénale ordonnée en application de l’art. 66a CP vaut interdiction d’entrée au sens de l’art. 75 al. 1 let. c LEI (ATA/179/2018 du 29 février 2018 dans la cause A/410/2018-MC, consid. 4 et référence citées).</w:t>
      </w:r>
    </w:p>
    <w:p>
      <w:r>
        <w:rPr>
          <w:b/>
        </w:rPr>
        <w:t>E. 10</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11</w:t>
      </w:r>
    </w:p>
    <w:p>
      <w:r>
        <w:t>Il ressort du message relatif à l'approbation et à la mise en œuvre des échanges de notes entre la Suisse et l'Union européenne concernant la reprise des règlements (UE) nos 603/2013 et 604/2013 (développements de l'acquis de Dublin/Eurodac) du 7 mars 2014 (FF 2014 2587, 2614) que l'art. 76a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w:t>
      </w:r>
    </w:p>
    <w:p>
      <w:r>
        <w:rPr>
          <w:b/>
        </w:rPr>
        <w:t>E. 12</w:t>
      </w:r>
    </w:p>
    <w:p>
      <w:r>
        <w:t>Ces critères s'apparentent aux motifs déjà existants de détention en phase préparatoire ou de détention en vue du renvoi définis aux art. 75 et 76 LEI (cf. Gregor CHATTON/Laurent MERZ, Code annoté de droit des migrations, volume II : loi sur les étrangers, n. 17 ad art. 76a LEI, p. 808).</w:t>
      </w:r>
    </w:p>
    <w:p>
      <w:r>
        <w:rPr>
          <w:b/>
        </w:rPr>
        <w:t>E. 13</w:t>
      </w:r>
    </w:p>
    <w:p>
      <w:r>
        <w:t>En l'espèce, M. A______ fait l'objet d'une interdiction d'entrée en Suisse du SEM du 22 octobre 2019 jusqu’au 8 octobre 2022 et l’objet d’une expulsion pénale de trois ans suite au jugement du Tribunal de police du 20 janvier 2022, ce qui ne l'a pas empêché d'y revenir en novembre 2021 et en février 2024, après avoir été renvoyé en Slovénie le 16 juillet 2021 et le 27 juin 2022. Sans lien avec la Suisse ni domicile fixe ni revenu, il y a lieu de craindre que M. A______ se soustrait à l'exécution de son renvoi, notamment par un passage dans la clandestinité. En poursuivant un séjour illégal en Suisse et en s’opposant aux actes de l'autorité, l'intéressé est une menace pour la sécurité et l’ordre publics.</w:t>
      </w:r>
    </w:p>
    <w:p>
      <w:r>
        <w:rPr>
          <w:b/>
        </w:rPr>
        <w:t>E. 14</w:t>
      </w:r>
    </w:p>
    <w:p>
      <w:r>
        <w:t>Partant, c'est de manière tout à fait fondée que le commissaire de police a ordonné sa détention sur la base de l'art. 76a al. 1 et 2 let. b et e LEI.</w:t>
      </w:r>
    </w:p>
    <w:p>
      <w:r>
        <w:rPr>
          <w:b/>
        </w:rPr>
        <w:t>E. 15</w:t>
      </w:r>
    </w:p>
    <w:p>
      <w:r>
        <w:t>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w:t>
      </w:r>
    </w:p>
    <w:p>
      <w:r>
        <w:t>- 8/9 - A/759/2024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de la Convention de sauvegarde des droits de l’homme et des libertés fondamentales du 4 novembre 1950 (CEDH - RS 0.101) ; ATF 134 I 92 consid. 2.3 et 133 II 1 consid. 5.1 ; arrêts du Tribunal fédéral 2C_765/2015 du</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A/759/2024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