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JTAPI/199/2024 vom 7. März 2024</w:t>
      </w:r>
    </w:p>
    <w:p>
      <w:r>
        <w:t>GE Cour de justice, 2024-03-07, FR</w:t>
      </w:r>
    </w:p>
    <w:p>
      <w:r>
        <w:rPr>
          <w:b/>
        </w:rPr>
        <w:t xml:space="preserve">Quelle: </w:t>
      </w:r>
      <w:r>
        <w:t>https://mcp.opencaselaw.ch/entscheid/ge_gerichte_JTAPI_199_2024</w:t>
      </w:r>
    </w:p>
    <w:p>
      <w:r>
        <w:t>FR: GE_GERICHTE JTAPI/199/2024 du 7 mars 2024</w:t>
      </w:r>
    </w:p>
    <w:p>
      <w:r>
        <w:t>IT: GE_GERICHTE JTAPI/199/2024 del 7 marzo 2024</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w:t>
      </w:r>
    </w:p>
    <w:p>
      <w:r>
        <w:rPr>
          <w:b/>
        </w:rPr>
        <w:t>E. 4</w:t>
      </w:r>
    </w:p>
    <w:p>
      <w:r>
        <w:t>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2011, p. 179 n. 515).</w:t>
      </w:r>
    </w:p>
    <w:p>
      <w:r>
        <w:t>- 6/9 - A/3265/2023</w:t>
      </w:r>
    </w:p>
    <w:p>
      <w:r>
        <w:rPr>
          <w:b/>
        </w:rPr>
        <w:t>E. 5</w:t>
      </w:r>
    </w:p>
    <w:p>
      <w:r>
        <w:t>À titre préalable, les recourants sollicitent la suspension de la présente procédure jusqu’à droit connu sur leur demande de maintien à titre précaire adressée au Conseil d’Etat.</w:t>
      </w:r>
    </w:p>
    <w:p>
      <w:r>
        <w:rPr>
          <w:b/>
        </w:rPr>
        <w:t>E. 6</w:t>
      </w:r>
    </w:p>
    <w:p>
      <w:r>
        <w:t>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(art. 14 al. 1 LPA). Cette disposition est une norme potestative et son texte clair ne prévoit pas la suspension systématique de la procédure chaque fois qu’une autorité civile, pénale ou administrative est parallèlement saisie (ATA/405/2022 du 12 avril 2022 consid. 3a).</w:t>
      </w:r>
    </w:p>
    <w:p>
      <w:r>
        <w:rPr>
          <w:b/>
        </w:rPr>
        <w:t>E. 7</w:t>
      </w:r>
    </w:p>
    <w:p>
      <w:r>
        <w:t>En l’espèce, le bien-fondé de l’amende peut être examiné de manière autonome sans qu’il y ait lieu d’attendre que le Conseil d’Etat se détermine sur la demande de maintien à titre précaire, laquelle apparait au demeurant vouée à l’échec vu le refus de la propriétaire de la parcelle concernée. Il sera enfin rappelé, à toute fin utile, que l’ordre qui leur a été fait de s’exécuter, dans un nouveau délai au 13 octobre 2023, n’est qu’une mesure d’exécution, non sujette à recours, de la décision du 14 mai 2020, en force. Pour le surplus, une suspension fondée sur l’accord des parties au sens de l’art. 78 LPA n’entre pas en ligne de compte en l’occurrence, l’autorité intimée s’étant opposée à une telle mesure. Par conséquent, la demande de suspension sera écartée.</w:t>
      </w:r>
    </w:p>
    <w:p>
      <w:r>
        <w:rPr>
          <w:b/>
        </w:rPr>
        <w:t>E. 8</w:t>
      </w:r>
    </w:p>
    <w:p>
      <w:r>
        <w:t>Les recourants contestent l’amende de CHF 2'000.- infligée par le département.</w:t>
      </w:r>
    </w:p>
    <w:p>
      <w:r>
        <w:rPr>
          <w:b/>
        </w:rPr>
        <w:t>E. 9</w:t>
      </w:r>
    </w:p>
    <w:p>
      <w:r>
        <w:t>L’art. 137 al. 1 LCI prévoit qu’est passible d’une amende administrative de CHF 100.- à CHF 150'000.- tout contrevenant à la présente loi (let. a), aux règlements et arrêtés édictés en vertu de la présente loi (let. b), aux ordres donnés par le département dans les limites de la présente loi et des règlements et arrêtés édictés en vertu de celle-ci (let. c). Le montant maximum de l’amende est de CHF 20'000.- lorsqu’une construction, une installation ou tout autre ouvrage a été entrepris sans autorisation mais que les travaux sont conformes aux prescriptions légales (art. 137 al. 2 LCI). Il est tenu compte, dans la fixation du montant de l’amende, du degré de gravité de l’infraction. Constituent notamment des circonstances aggravantes la violation de la loi par cupidité, les cas de récidive et l’établissement, par le mandataire professionnellement qualifié ou le requérant, d’une attestation au sens de l’art. 7 LCI non conforme à la réalité (art. 137 al. 3 LCI). La poursuite et la sanction administrative se prescrivent par sept ans (art. 137 al. 5 LCI).</w:t>
      </w:r>
    </w:p>
    <w:p>
      <w:r>
        <w:rPr>
          <w:b/>
        </w:rPr>
        <w:t>E. 10</w:t>
      </w:r>
    </w:p>
    <w:p>
      <w:r>
        <w:t>L’art. 137 al. 1 LCI érige la contravention aux ordres donnés par le département (let. c) en infraction distincte de la contravention à la LCI et à ses règlements d'application (let. a et b). De par sa nature, cette infraction est très proche de celle visée par l'art. 292 du Code pénal suisse du 21 décembre 1937 (CP – RS 311.0) (insoumission à une décision de l'autorité). À l'instar de cette disposition pénale, la condamnation de l'auteur pour infraction à l'art. 137 al. 1 let. a LCI n'a pas pour</w:t>
      </w:r>
    </w:p>
    <w:p>
      <w:r>
        <w:t>- 7/9 - A/3265/2023 effet de le libérer du devoir de se soumettre à la décision de l'autorité. S'il persiste dans son action ou son omission coupables, il peut être condamné plusieurs fois pour infraction à l'art. 137 al. 1 let. c LCI, sans pouvoir invoquer le principe ne bis in idem, dès lors que l'on réprime à chaque fois une autre période d'action ou d'omission coupables (Bernard CORBOZ, Les infractions en droit suisse, 3ème éd., 2010, vol. 2, n. 32 ad art. 292 CP p. 551). De plus, la sanction de l'insoumission peut être augmentée chaque fois qu'une menace de l'appliquer est restée sans effet (Blaise KNAPP, Précis de droit administratif, 4ème éd., 1991, n. 1'721 et les références citées ; ATA/147/2014 du 11 mars 2014 consid. 11).</w:t>
      </w:r>
    </w:p>
    <w:p>
      <w:r>
        <w:rPr>
          <w:b/>
        </w:rPr>
        <w:t>E. 11</w:t>
      </w:r>
    </w:p>
    <w:p>
      <w:r>
        <w:t>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(ATA/263/2016 du 22 mars 2016 ; ATA/163/2014 du 18 mars 2014 ; Pierre MOOR/Étienne POLTIER, Droit administratif : les actes administratifs et leur contrôle, vol. 2, 2011, p. 160 s. ch. 1.4.5.5).</w:t>
      </w:r>
    </w:p>
    <w:p>
      <w:r>
        <w:rPr>
          <w:b/>
        </w:rPr>
        <w:t>E. 12</w:t>
      </w:r>
    </w:p>
    <w:p>
      <w:r>
        <w:t>En vertu de l'art. 1 let. a de la loi pénale genevoise du 17 novembre 2006 (LPG - E 4 05), les dispositions de la partie générale du CP s'appliquent à titre de droit cantonal supplétif, sous réserve de celles qui concernent exclusivement le juge pénal (ATA/611/2016 du 12 juillet 2016 consid. 10c et les références citées). Il est ainsi nécessaire que le contrevenant ait commis une faute, fût-ce sous la forme d'une simple négligence (ATA/886/2014 du 11 novembre 2014 ; ATA/147/2014 du 11 mars 2014).</w:t>
      </w:r>
    </w:p>
    <w:p>
      <w:r>
        <w:rPr>
          <w:b/>
        </w:rPr>
        <w:t>E. 13</w:t>
      </w:r>
    </w:p>
    <w:p>
      <w:r>
        <w:t>Selon la jurisprudence constante, l'administration doit faire preuve de sévérité afin d'assurer le respect de la loi et jouit d'un large pouvoir d'appréciation pour infliger une amende, de sorte que le juge ne la censure qu'en cas d'excès (ATA/611/2016 précité ; ATA/824/2015 du 11 août 2015 ; ATA/147/2014 du 11 mars 2014).</w:t>
      </w:r>
    </w:p>
    <w:p>
      <w:r>
        <w:rPr>
          <w:b/>
        </w:rPr>
        <w:t>E. 14</w:t>
      </w:r>
    </w:p>
    <w:p>
      <w:r>
        <w:t>L'autorité qui prononce une mesure administrative ayant le caractère d'une sanction doit également faire application des règles contenues aux art. 47 ss CP (principes applicables à la fixation de la peine), soit tenir compte de la culpabilité de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et son mode d'exécution, par les motivations et les buts de l'auteur et par la mesure dans laquelle celui-ci aurait pu éviter la mise en danger ou la lésion, compte tenu de sa situation personnelle et des circonstances extérieures (art. 47 al. 2 CP ; ATA/611/2016 précité consid. 10c et les références citées ; ATA/824/2015 du 11 août 2015 ; arrêt du Tribunal fédéral 6B_412/2014 du 27 janvier 2015 consid. 2.1 et les arrêts cités).</w:t>
      </w:r>
    </w:p>
    <w:p>
      <w:r>
        <w:t>- 8/9 - A/3265/2023</w:t>
      </w:r>
    </w:p>
    <w:p>
      <w:r>
        <w:rPr>
          <w:b/>
        </w:rPr>
        <w:t>E. 15</w:t>
      </w:r>
    </w:p>
    <w:p>
      <w:r>
        <w:t>L'amende doit faire l'objet d'une évaluation globale, dans laquelle l'autorité administrative qui sanctionne - partant le juge qui contrôle sa décision - doit prendre en compte, dans un calcul d'ensemble, la nature, la gravité et la fréquence des infractions (ATA/886/2014 du 11 novembre 2014 ; ATA/558/2013 du 27 août 2013 ; Günter STRATENWERTH, Schweizerisches Strafrecht - Allgemeiner Teil II : Strafen und Massnahmen, 2ème éd., 2006, p. 75 § 75 ; Sandro CHIMICHELLA, Die Geldstrafe in Schweizer Strafrecht, 2006, p. 39).</w:t>
      </w:r>
    </w:p>
    <w:p>
      <w:r>
        <w:rPr>
          <w:b/>
        </w:rPr>
        <w:t>E. 16</w:t>
      </w:r>
    </w:p>
    <w:p>
      <w:r>
        <w:t>Enfin, l'amende doit respecter le principe de la proportionnalité garanti par l'art. 5 al. 2 de la Constitution fédérale de la Confédération suisse du 18 avril 1999 (Cst. - RS 101 ; cf. ATA/313/2017 du 21 mars 2017 ; ATA/871/2015 du 25 août 2015 ; ATA/824/2015 du 11 août 2015), lequel commande que la mesure étatique soit nécessaire et apte à atteindre le but prévu et qu'elle soit raisonnable pour la personne concernée (cf. ATF 140 I 257 consid. 6.3.1 ; 140 II 194 consid. 5.8.2 ; 139 I 218 consid. 4.3).</w:t>
      </w:r>
    </w:p>
    <w:p>
      <w:r>
        <w:rPr>
          <w:b/>
        </w:rPr>
        <w:t>E. 17</w:t>
      </w:r>
    </w:p>
    <w:p>
      <w:r>
        <w:t>En l'occurrence, les recourants ne contestent pas n’avoir pas respecté l’ordre du 14 mai 2020 du département, ne démolissant pas le couvert à voitures ni ne fournissant les preuves requises dans le délai au 4 août 2023 imparti. Leur comportement est en soi objectivement constitutif de l'infraction réprimée par l'art. 137 al. 1 let. c LCI et peut donc donner lieu au prononcé d'une amende. Il résulte en outre des différents évènements précités que c'est assurément avec conscience et volonté qu’ils n'ont pas obtempéré dans le délai aux ordres du département, alors même que la décision y relative était entrée en force. Ils justifient leur inaction par le dépôt d’une autorisation à titre précaire. Or, comme le leur a expressément rappelé le département, ce dépôt ne saurait avoir pour conséquence de suspendre l’exécution d’un ordre de remise en état, en force et exécutoire. Enfin, s'agissant du montant de l'amende, de CHF 2'000.-, en soi pas contesté, le tribunal relève qu'il se situe dans la fourchette basse de l'art. 137 al. 1 LCI et que les recourants n'ont pas fait état de difficultés pécuniaires particulières les empêchant de s'en acquitter.</w:t>
      </w:r>
    </w:p>
    <w:p>
      <w:r>
        <w:rPr>
          <w:b/>
        </w:rPr>
        <w:t>E. 18</w:t>
      </w:r>
    </w:p>
    <w:p>
      <w:r>
        <w:t>Partant, au vu de l'ensemble des circonstances, l’amende n'apparait pas disproportionnée et sera confirmée tant dans son principe que dans sa quotité.</w:t>
      </w:r>
    </w:p>
    <w:p>
      <w:r>
        <w:rPr>
          <w:b/>
        </w:rPr>
        <w:t>E. 19</w:t>
      </w:r>
    </w:p>
    <w:p>
      <w:r>
        <w:t>Entièrement mal fondé, le recours sera rejeté.</w:t>
      </w:r>
    </w:p>
    <w:p>
      <w:r>
        <w:rPr>
          <w:b/>
        </w:rPr>
        <w:t>E. 20</w:t>
      </w:r>
    </w:p>
    <w:p>
      <w:r>
        <w:t>En application des art. 87 al. 1 LPA et 1 et 2 du règlement sur les frais, émoluments et indemnités en procédure administrative du 30 juillet 1986 (RFPA - E 5 10.03), les recourants, pris conjointement et solidairement, qui succombent, sont condamnés au paiement d’un émolument s'élevant à CHF 900.- ; il est couvert par l’avance de frais versée à la suite du dépôt du recours.</w:t>
      </w:r>
    </w:p>
    <w:p>
      <w:r>
        <w:rPr>
          <w:b/>
        </w:rPr>
        <w:t>E. 21</w:t>
      </w:r>
    </w:p>
    <w:p>
      <w:r>
        <w:t>Vu l’issue du litige, aucune indemnité de procédure ne sera allouée (art. 87 al. 2 LPA).</w:t>
      </w:r>
    </w:p>
    <w:p>
      <w:r>
        <w:t>- 9/9 - A/3265/2023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