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JTAPI/194/2025 vom 20. Februar 2025</w:t>
      </w:r>
    </w:p>
    <w:p>
      <w:r>
        <w:t>GE Cour de justice, 2025-02-20, FR</w:t>
      </w:r>
    </w:p>
    <w:p>
      <w:r>
        <w:rPr>
          <w:b/>
        </w:rPr>
        <w:t xml:space="preserve">Quelle: </w:t>
      </w:r>
      <w:r>
        <w:t>https://mcp.opencaselaw.ch/entscheid/ge_gerichte_JTAPI_194_2025</w:t>
      </w:r>
    </w:p>
    <w:p>
      <w:r>
        <w:t>FR: GE_GERICHTE JTAPI/194/2025 du 20 février 2025</w:t>
      </w:r>
    </w:p>
    <w:p>
      <w:r>
        <w:t>IT: GE_GERICHTE JTAPI/194/2025 del 20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w:t>
      </w:r>
    </w:p>
    <w:p>
      <w:r>
        <w:t>- 17/21 - A/1824/2024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(ATA/978/2019 du 4 juin 2019 consid. 4b et les arrêts cités), aucun moyen de preuve ne s'imposant à lui (cf. not. arrêts du Tribunal fédéral 6B_58/2017 du 21 août 2017 consid. 2.1 ; 6B_564/2013 du 22 avril 2014 consid. 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En préambule, il convient de délimiter l'objet du litige.</w:t>
      </w:r>
    </w:p>
    <w:p>
      <w:r>
        <w:rPr>
          <w:b/>
        </w:rPr>
        <w:t>E. 6</w:t>
      </w:r>
    </w:p>
    <w:p>
      <w:r>
        <w:t>L'objet du litige est principalement défini par l'objet du recours (ou objet de la contestation), les conclusions du recourant et, accessoirement, par les griefs ou</w:t>
      </w:r>
    </w:p>
    <w:p>
      <w:r>
        <w:t>- 10/21 - A/1824/2024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ATA/4418/2019 du 23 mars 2021, consid.10b).</w:t>
      </w:r>
    </w:p>
    <w:p>
      <w:r>
        <w:rPr>
          <w:b/>
        </w:rPr>
        <w:t>E. 6.2</w:t>
      </w:r>
    </w:p>
    <w:p>
      <w:r>
        <w:t>; arrêts du Tribunal fédéral 1C_626/2019 du 8 octobre 2020 consid. 3.1 ; 2C_136/2018 du 24 septembre 2018 consid. 3.2).</w:t>
      </w:r>
    </w:p>
    <w:p>
      <w:r>
        <w:t>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w:t>
      </w:r>
    </w:p>
    <w:p>
      <w:r>
        <w:rPr>
          <w:b/>
        </w:rPr>
        <w:t>E. 7</w:t>
      </w:r>
    </w:p>
    <w:p>
      <w:r>
        <w:t>En l'espèce, la décision querellée concerne uniquement l'ordre de remise en état concernant les objets B, D, E, F, G et H. Elle n'a pas pour objet d'examiner la possibilité de régulariser ces objets, question devant faire l'objet d'un examen indépendant par l'autorité intimée sur demande des recourants. Ainsi, le potentiel caractère autorisable des objets B et H est exorbitant au présent litige.</w:t>
      </w:r>
    </w:p>
    <w:p>
      <w:r>
        <w:rPr>
          <w:b/>
        </w:rPr>
        <w:t>E. 8</w:t>
      </w:r>
    </w:p>
    <w:p>
      <w:r>
        <w:t>À cet égard, les recourants prétendent que le département aurait commis un excès négatif de son pouvoir d'appréciation en ne les ayant pas préalablement invités à déposer une demande de régularisation. Ce faisant, ils se plaignent indirectement de leur droit d'être entendu.</w:t>
      </w:r>
    </w:p>
    <w:p>
      <w:r>
        <w:rPr>
          <w:b/>
        </w:rPr>
        <w:t>E. 9</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140 I 68 consid. 9.6.1 ; arrêt du Tribunal fédéral 8C_381/2021 du 17 décembre 2021 consid. 3.2 ; cf. aussi art. 41 in fine LPA).</w:t>
      </w:r>
    </w:p>
    <w:p>
      <w:r>
        <w:t>La réparation d’un vice de procédure en instance de recours et, notamment, du droit d’être entendu, n’est possible que lorsque l’autorité dispose du même pouvoir</w:t>
      </w:r>
    </w:p>
    <w:p>
      <w:r>
        <w:t>- 11/21 - A/1824/2024 d’examen que l’autorité inférieure (ATF 145 I 167 consid. 4.4 ; arrêt du Tribunal fédéral 1C_31/2021 du 16 juillet 2021 consid. 2.1 ; ATA/949/2021 du 14 septembre 2021 consid. 5b et les arrêts cités).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(ATF 142 II 218 consid. 2.8.1 ; arrêts du Tribunal fédéral 2C_66/2022 du 8 décembre 2022 consid. 3.2 ;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10</w:t>
      </w:r>
    </w:p>
    <w:p>
      <w:r>
        <w:t>Selon la jurisprudence, lorsque le département constate qu’une construction a été érigée sans droit, il peut inviter l’intéressé à déposer une autorisation de construire, cela pouvant constituer une alternative à une remise en état. Cela ne présuppose toutefois pas que l’autorisation de construire sera délivrée. Cette invite n’est pas une décision (ATA/1548/2017 du 28 novembre 2017 consid. 4a et les références citées).</w:t>
      </w:r>
    </w:p>
    <w:p>
      <w:r>
        <w:rPr>
          <w:b/>
        </w:rPr>
        <w:t>E. 11</w:t>
      </w:r>
    </w:p>
    <w:p>
      <w:r>
        <w:t>En l'espèce, le fait que le département ait considéré le dépôt d’une demande d’autorisation de construire régularisatrice comme superfétatoire et qu’il ne l’ait dès lors pas ordonné ne viole pas le droit d’être entendu des recourants. En effet, le département n’avait pas l’obligation de les inviter à déposer une autorisation de construire afin de régulariser une situation retenue illégale et rien n’indique qu’il ait agi de manière arbitraire en retenant, eu égard aux circonstances spécifiques du cas d’espèce - notamment le fait que de nombreuses constructions avaient été édifiées sans autorisation en zone agricole -, qu’il convenait de procéder immédiatement à la remise en état de la parcelle. En outre, cette position du département, qui ne constitue pas une décision, n’interdisait nullement aux recourants de déposer une demande de régularisation. À cet égard, les recourants n’ont à ce jour entrepris aucune démarche en ce sens. Ils sont ainsi mal venus de se plaindre d’une absence d'invitation à déposer une telle demande de régularisation. Dans un tel contexte, le département n’a pas commis un excès négatif de son pouvoir d'appréciation ou violé le droit d'être entendu des recourants en ne leur octroyant pas de délai pour déposer une demande de construction régularisatrice.</w:t>
      </w:r>
    </w:p>
    <w:p>
      <w:r>
        <w:rPr>
          <w:b/>
        </w:rPr>
        <w:t>E. 12</w:t>
      </w:r>
    </w:p>
    <w:p>
      <w:r>
        <w:t>Les recourants soutiennent que l'ordre de remise en état litigieux n'est pas conforme au droit, notamment en raison de l'introduction prochaine de la prescription trentenaire en zone agricole.</w:t>
      </w:r>
    </w:p>
    <w:p>
      <w:r>
        <w:rPr>
          <w:b/>
        </w:rPr>
        <w:t>E. 13</w:t>
      </w:r>
    </w:p>
    <w:p>
      <w:r>
        <w:t>Lorsque l'état d'une construction, d'une installation ou d'une autre chose n'est pas conforme aux prescription de la LCI, des règlements qu'elle prévoit ou des autorisations délivrées en application de ces dispositions légales ou réglementaires,</w:t>
      </w:r>
    </w:p>
    <w:p>
      <w:r>
        <w:t>- 12/21 - A/1824/2024 le département peut notamment en ordonner la remise en état, la réparation, la modification, la suppression ou la démolition (art. 129 let. e et 130 LCI).</w:t>
      </w:r>
    </w:p>
    <w:p>
      <w:r>
        <w:rPr>
          <w:b/>
        </w:rPr>
        <w:t>E. 14</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15</w:t>
      </w:r>
    </w:p>
    <w:p>
      <w:r>
        <w:t>De jurisprudence constante, pour être valable, un ordre de mise en conformité doit respecter cinq conditions. Premièrement, il doit être dirigé contre le perturbateur,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(ATA/701/2023 du 27 juin 2023 consid. 3.3 ; ATA/225/2023 du 7 mars 2023 consid. 3b ; ATA/1134/2022 du 8 novembre 2022 consid. 11b).</w:t>
      </w:r>
    </w:p>
    <w:p>
      <w:r>
        <w:t>S'agissant de la dernière des cinq conditions auxquelles est soumis un ordre de remise en état, soit l'application du principe de la proportionnalité, garanti par l'art. 5 al. 2 Cst. Traditionnellement, ledit principe se compose de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147 IV 145 consid. 2.4.1 ; ATF 146 I 70 consid. 6.4 ; ATF 143 I 403 consid. 5.6.3 ; ATF 142 I 76 consid. 3.5.1 ; ATF 136 IV 97 consid. 5.2.2 ; ATA/111/2024 du 30 janvier</w:t>
      </w:r>
    </w:p>
    <w:p>
      <w:r>
        <w:t>- 13/21 - A/1824/2024 2024 consid. 4.1.3). 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1C_149/ 2022 du 28 octobre 2022 consid. 5.2 ; ATA/1112/2023 du 10 octobre 2023 consid. 5.5.1), si celui-ci pouvait de bonne foi se croire autorisé à construire ou encore s’il y a des chances sérieuses de faire reconnaître la construction comme conforme au droit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 2011 du 26 avril 2012). Néanmoins, un intérêt purement économique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Les constructions « illicites » en droit public - notions, mesures administratives, sanctions, Journées suisses du droit de la construction, Fribourg 2019, p. 218).</w:t>
      </w:r>
    </w:p>
    <w:p>
      <w:r>
        <w:rPr>
          <w:b/>
        </w:rPr>
        <w:t>E. 16</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w:t>
      </w:r>
    </w:p>
    <w:p>
      <w:r>
        <w:t>- 14/21 - A/1824/2024 (ATA/213/2018 précité consid. 11 ; ATA/738/2017 précité consid. 8 ; ATA/829/2016 du 4 octobre 2016).</w:t>
      </w:r>
    </w:p>
    <w:p>
      <w:r>
        <w:rPr>
          <w:b/>
        </w:rPr>
        <w:t>E. 17</w:t>
      </w:r>
    </w:p>
    <w:p>
      <w:r>
        <w:t>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18</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19</w:t>
      </w:r>
    </w:p>
    <w:p>
      <w:r>
        <w:t>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w:t>
      </w:r>
    </w:p>
    <w:p>
      <w:r>
        <w:t>- 15/21 - A/1824/2024 consid. 3.2 ; 132 II 153 consid. 5.1 ; arrêts du Tribunal fédéral 1C_197/2021 du 12 novembre 2021 consid. 2.1.5 ; 2C_199/2017 du 12 juin 2018 consid. 3.5).</w:t>
      </w:r>
    </w:p>
    <w:p>
      <w:r>
        <w:rPr>
          <w:b/>
        </w:rPr>
        <w:t>E. 20</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w:t>
      </w:r>
    </w:p>
    <w:p>
      <w:r>
        <w:rPr>
          <w:b/>
        </w:rPr>
        <w:t>E. 21</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(ATA/684/2022 du 28 juin 2022). Plus récemment, elle a confirmé l’ordre de rétablir une situation conforme au droit en procédant à la remise en état du terrain naturel suite à un remblayage effectué sans autorisation (ATA/111/2024 du 30 janvier 2024 qui fait l’objet d’un recours pendant au Tribunal fédéral), respectivement à l’enlèvement d’une clôture en métal en vue de la garde d’animaux à titre de loisirs (ATA/1112/2023 du 10 octobre 2023 confirmé par arrêt du tribunal fédéral 1C_618/2023 du 9 octobre 2024).</w:t>
      </w:r>
    </w:p>
    <w:p>
      <w:r>
        <w:rPr>
          <w:b/>
        </w:rPr>
        <w:t>E. 22</w:t>
      </w:r>
    </w:p>
    <w:p>
      <w:r>
        <w:t>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(1C_452/2023 du 31 mai 2024 consid. 8). Dans plusieurs jurisprudences récentes (JTAPI/44/2025 du 16 janvier 2025, JTAPI/934/2024 du 19 septembre 2024, JTAPI/809/2024 du 22 août 2024 et JTAPI/650/2024 du 27 juin 2024), le tribunal a annulé des ordres de remise en état considérant notamment qu’ils étaient disproportionnés au vu de la modification de la LAT annoncée dans la FF 2023 2488 qui rétablissait la prescription trentenaire qu'avait supprimé l'ATF 147 II 309, laquelle n'entrerait certes en vigueur qu'en 2025, et ne saurait donc être appliquée de manière anticipée, mais devait cependant être prise en considération dans le cadre du principe de la proportionnalité, sauf à</w:t>
      </w:r>
    </w:p>
    <w:p>
      <w:r>
        <w:t>- 16/21 - A/1824/2024 faire abstraction du pouvoir d'appréciation dont dispose l'autorité et à s'en tenir à une application purement mécanique du droit (cf. notamment JTAPI/650/2024 précité consid. 14). Dans ces trois procédures, les objets en cause existaient depuis plus de 30 ans.</w:t>
      </w:r>
    </w:p>
    <w:p>
      <w:r>
        <w:rPr>
          <w:b/>
        </w:rPr>
        <w:t>E. 23</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w:t>
      </w:r>
    </w:p>
    <w:p>
      <w:r>
        <w:rPr>
          <w:b/>
        </w:rPr>
        <w:t>E. 24</w:t>
      </w:r>
    </w:p>
    <w:p>
      <w:r>
        <w:t>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(ATA/610/2017 du 30 mai 2017 consid. 7d ; ATA/303/2016 du 12 avril 2016 consid. 6c ; ATA/19/2016 du 12 janvier 2016 consid. 7b).</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25</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26</w:t>
      </w:r>
    </w:p>
    <w:p>
      <w:r>
        <w:t>En l’espèce, l'ordre de remise en état a été adressé aux recourants, qui sont propriétaires des parcelles concernées, et donc, à tout le moins, perturbateurs par situation. Le département était ainsi fondé à s’adresser à eux en vue de solliciter la remise en état des objets litigieux, sis sur des parcelles sur lesquelles ils possèdent une maîtrise juridique et de fait, quand bien même ils ne les ont pas eux-mêmes fait réaliser.</w:t>
      </w:r>
    </w:p>
    <w:p>
      <w:r>
        <w:t>En outre, les objets en cause n’ont manifestement jamais été autorisés. Si les recourants prétendent que certains de ceux-ci l'auraient été par le biais de l'autorisation de construire DD 10______, ils ne sauraient cependant être suivi. En effet, cette autorisation de construire ne portait aucunement sur la question de ces aménagements extérieurs, dès lors qu'elle visait la transformation et l'agrandissement d'une habitation. En particulier, le courrier du 16 mai 1991 de l'architecte en charge de ce projet précise que les travaux visaient la modification des structures intérieurs non porteuses du bâtiment et l'agrandissement et la transformation d'un couvert existant en véranda. Sous le volet « aménagements extérieurs », dans le descriptif des travaux, il est mentionné « sans modification, si ce n'est l'aménagement de terrasses en gravier ». Il est donc clair que la DD 10______ n'a jamais eu pour objet ni pour effet d'autoriser les objets litigieux.</w:t>
      </w:r>
    </w:p>
    <w:p>
      <w:r>
        <w:t>La question de la prescription trentenaire ne se pose pas en l’espèce. En effet, une telle prescription ne s’applique actuellement pas, à teneur de la jurisprudence du Tribunal fédéral, hors de la zone à bâtir. Or, les parcelles en cause se situent en zone agricole. La future réintroduction de cette prescription trentenaire désormais validée par les deux chambres de l’Assemblée fédérale et contre laquelle aucun référendum n’a été déposé, n’y change rien du strict point de vue de la légalité. Par ailleurs, le Tribunal fédéral a déjà exclu une éventuelle application anticipée du futur art. 25 al. 5 LAT et a jugé un tel grief irrecevable. Il en va cependant différemment, comme on le verra ci-dessous, sous l'angle de la proportionnalité.</w:t>
      </w:r>
    </w:p>
    <w:p>
      <w:r>
        <w:t>Il n’apparaît pour le surplus pas que l’autorité aurait suscité d’une quelconque façon des expectatives qu’il se justifierait de protéger sous l’angle de la bonne foi. À cet</w:t>
      </w:r>
    </w:p>
    <w:p>
      <w:r>
        <w:t>- 18/21 - A/1824/2024 égard, la jurisprudence du Tribunal fédéral a déjà précisé que la délivrance d'un permis d'occuper n'était pas suffisant pour retenir que l'autorité serait intervenue auparavant en donnant des assurances concrètes auxquelles se seraient fiés les recourants pour entreprendre des travaux illicites et qu'un tel permis ne signifiait pas que les travaux avaient été autorisés (Arrêt du Tribunal fédéral 1C_537/2011 du 26 avril 2012 consid. 2.3.3).</w:t>
      </w:r>
    </w:p>
    <w:p>
      <w:r>
        <w:t>S'agissant de la cinquième condition à laquelle est soumis un ordre de remise en état, à savoir le fait que ce dernier vise des intérêts publics qui l'emportent sur les intérêts opposés au maintien de la situation, le tribunal considère que l'on ne saurait faire abstraction du fait que certains des objets litigieux, qui sont aujourd'hui soumis à la possibilité d'un ordre de remise en état, pourraient y échapper dès l'entrée en vigueur relativement proche du futur art. 25 al. 5 LAT, à condition de pouvoir déterminer avec suffisamment de précision la date de réalisation des objets litigieux.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 déjà décidé qu'il convenait de renoncer dans les circonstances spécifiques de constructions datant de plus de 30 ans.</w:t>
      </w:r>
    </w:p>
    <w:p>
      <w:r>
        <w:t>En l'occurrence, s'agissant du couvert à voiture (objet B), il n'apparait manifestement pas sur les orthophotos disponibles sur le SITG pour les années 2001, 2005 et 2009. Il est cependant visible sur les photographies aériennes à partir de 2011. Il est ainsi clair qu'il a été édifié entre 2009 et 2011, de sorte que cela ne fait manifestement pas plus de trente ans qu'il existe à cet emplacement, étant rappelé que l'admissibilité de son potentiel déplacement contre l'une des façades du bâtiment ne fait pas l'objet du présent litige.</w:t>
      </w:r>
    </w:p>
    <w:p>
      <w:r>
        <w:t>S'agissant des portails et portillons ainsi que le bâtiment n° 5______ utilisé comme remise sis sur la parcelle n° 4______ (objets F, G et H), si les propriétaires affirment dans leurs écritures qu'ils existeraient depuis plus de trente ans, aucun élément du dossier ne permet de le confirmer ni de dater objectivement la réalisation de ceux- ci, malgré la visite sur place de la CFA. Les outils disponibles sur le SITG, sur la plateforme Swisstopo (https://map.geo.admin.ch/) ou même les plans de la DD 10______ ne permettent pas d'apporter de quelconques clarifications à ce sujet. Or, il appartient en premier lieu aux recourants d'apporter des éléments de preuve permettant de déterminer la date d'édification des objets concernés. Dans ces</w:t>
      </w:r>
    </w:p>
    <w:p>
      <w:r>
        <w:t>- 19/21 - A/1824/2024 conditions, faute de pouvoir déterminer la date de réalisation des objets F, G et H, on ne peut pas admettre qu'ils auraient été érigés depuis plus de trente ans. Il existe ainsi un intérêt public certain au rétablissement d'une situation conforme au droit, au respect de la séparation de l'espace bâti de l'espace non bâti et à la limitation des constructions en zone agricole et 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Dans cette mesure, la décision querellée apparait également proportionnée. A cet égard, les recourants ne parviennent pas à démontrer que la remise en état consistant à restituer la parcelle à son état d'origine serait impossible ou qu'elle entraînerait des surcoûts disproportionnés.</w:t>
      </w:r>
    </w:p>
    <w:p>
      <w:r>
        <w:t>Concernant la cour (objet D) et le cheminement (objet E), les recourants ne sauraient être suivis lorsqu'ils affirment que ces éléments auraient été autorisés à l'occasion de la délivrance de la DD 10______, comme exposé précédemment. Il ressort des photographies aériennes du SITG que ces objets existent à leurs emplacements et dimensions respectifs actuels depuis à tout le moins juin 1996, les orthophotos antérieures disponibles étant trop imprécises. Cependant, selon les images aériennes historiques existantes sur la plateforme informatique de Swisstopo, on discerne la présence d'un cheminement permettant d'accéder à l'habitation, équivalent à l'objet E, mais dans une configuration légèrement différente, notamment entre 1985 et 1991. Sur l'image de la parcelle en 1992, la surface au sol où se situe actuellement la cour et le cheminement est visiblement en travaux, dès lors que la surface alors en verdure devant l'habitation a disparu et que plusieurs véhicules y sont stationnés. Cette situation correspond en outre à la période durant laquelle les travaux autorisés par la DD 10______ ont été réalisés. Ces éléments amènent à penser que la cour et le cheminement auraient été aménagés à la suite de l'exécution de l'autorisation de construire précitée. À cela s'ajoute que le tableau de mutation parcellaire du 22 avril 1993, produit à l'appui de la demande de permis d'occuper, permet de visualiser l'emplacement actuel de la cour, en traits- tillés. Or, ce même tableau recense également en traits-tillés l'autre cheminement existant sur cette parcelle et manifestement présent de longue date sur celle-ci, de sorte que ce tableau de mutation parcelle présente manifestement l'état de la parcelle en 1993. Il est ainsi cohérent d'admettre que l'aménagement de la cour et du cheminement a été réalisé – illégalement – durant ou directement après l'exécution des travaux liés à la DD 10______. On peut donc raisonnablement affirmer que les objets D et E ont été réalisés, dans leur configuration actuelle, de manière simultanée aux travaux de la DD 10______, plus concrètement au plus tard au moment de la délivrance du permis d'occuper en 1993 attestant de la fin des travaux de la DD 10______, étant rappelé que la délivrance de celui-ci ne permet pas de retenir la légalité de ces aménagements litigieux. On peut ainsi admettre qu'ils existent très vraisemblablement depuis plus de trente ans. Dans ces circonstances, il apparait disproportionné d'en exiger la remise en état, compte tenu de la situation</w:t>
      </w:r>
    </w:p>
    <w:p>
      <w:r>
        <w:t>- 20/21 - A/1824/2024 toute particulière du cas d'espèce et de la réintroduction prochaine de la prescription trentenaire en zone agricole. Partant, au vu de ce qui précède, l'ordre de remise en état querellé apparaît disproportionné concernant les objets D et E et devra donc être annulé dans la mesure où il porte sur ces objets. Il importe cependant d'attirer l'attention des recourants sur le fait que cette issue laisse les objets litigieux dans l'illégalité et qu'ils ne sont donc pas susceptibles d'être remplacés ni transformés, de sorte que leur existence est limitée par leur durée de vie. L'ordre de remise en état est cependant parfaitement fondé et conforme au droit s'agissant du reste des objets litigieux B, F, G et H.</w:t>
      </w:r>
    </w:p>
    <w:p>
      <w:r>
        <w:rPr>
          <w:b/>
        </w:rPr>
        <w:t>E. 27</w:t>
      </w:r>
    </w:p>
    <w:p>
      <w:r>
        <w:t>Au vu de ce qui précède, le recours sera partiellement admis.</w:t>
      </w:r>
    </w:p>
    <w:p>
      <w:r>
        <w:rPr>
          <w:b/>
        </w:rPr>
        <w:t>E. 28</w:t>
      </w:r>
    </w:p>
    <w:p>
      <w:r>
        <w:t>La décision entreprise sera ainsi confirmée, hormis s'agissant des objets D et E.</w:t>
      </w:r>
    </w:p>
    <w:p>
      <w:r>
        <w:rPr>
          <w:b/>
        </w:rPr>
        <w:t>E. 29</w:t>
      </w:r>
    </w:p>
    <w:p>
      <w:r>
        <w:t>Vu cette issue, un émolument réduit de CHF 600.- sera mis à la charge des recourants, dès lors qu’ils n’obtiennent que partiellement gain de cause (art. 87 al.1 LPA et 1 et 2 du règlement sur les frais, émoluments et indemnité en procédure administrative du 30 juillet 1986 - RFPA - E 5 10.03). Il est couvert par l’avance de frais. Le solde de l’avance de frais, soit CHF 300.-, leur sera restitué.</w:t>
      </w:r>
    </w:p>
    <w:p>
      <w:r>
        <w:rPr>
          <w:b/>
        </w:rPr>
        <w:t>E. 30</w:t>
      </w:r>
    </w:p>
    <w:p>
      <w:r>
        <w:t>Une indemnité de procédure de CHF 500.-, à la charge de l’autorité intimée, sera par ailleurs allouée aux recourants (art. 87 al. 2 LPA et 6 RFPA).</w:t>
      </w:r>
    </w:p>
    <w:p>
      <w:r>
        <w:t>- 21/21 - A/1824/2024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