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JTAPI/186/2024 vom 5. März 2024</w:t>
      </w:r>
    </w:p>
    <w:p>
      <w:r>
        <w:t>GE Cour de justice, 2024-03-05, FR</w:t>
      </w:r>
    </w:p>
    <w:p>
      <w:r>
        <w:rPr>
          <w:b/>
        </w:rPr>
        <w:t xml:space="preserve">Quelle: </w:t>
      </w:r>
      <w:r>
        <w:t>https://mcp.opencaselaw.ch/entscheid/ge_gerichte_JTAPI_186_2024</w:t>
      </w:r>
    </w:p>
    <w:p>
      <w:r>
        <w:t>FR: GE_GERICHTE JTAPI/186/2024 du 5 mars 2024</w:t>
      </w:r>
    </w:p>
    <w:p>
      <w:r>
        <w:t>IT: GE_GERICHTE JTAPI/186/2024 del 5 marzo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3.3</w:t>
      </w:r>
    </w:p>
    <w:p>
      <w:r>
        <w:t>; arrêt du Tribunal fédéral 2C_980/2014 du 2 juin 2015 consid. 3.1). La limite des trois ans est absolue et s'applique même s'il ne reste que quelques jours pour atteindre la durée des trente-six mois exigés par l'art. 50 al. 1 let. a LEI (ATF 137 II 345 consid. 3.1.3 ; 136 II 113 consid. 3.2 et 3.4 ; arrêt du Tribunal fédéral 2C_50/2015 du 26 juin 2015 consid. 3.1 ; ATA/978/2019 du 4 juin 2019 consid. 5c).</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recourante conclut à ce qu’un permis humanitaire lui soit accordé et, subsidiairement, à ce qu’elle soit mise au bénéfice d’une admission provisoire jusqu’à chose décidée sur sa demande d’autorisation de séjour auprès des autorités du Royaume-Uni. Dans son complément de recours, elle conclut, à titre plus subsidiaire, à l’octroi d’un court permis de séjour afin de lui permettre de regagner l'Angleterre où elle avait une autorisation de résidence, un emploi et où elle s'était mariée.</w:t>
      </w:r>
    </w:p>
    <w:p>
      <w:r>
        <w:rPr>
          <w:b/>
        </w:rPr>
        <w:t>E. 6</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en l'espèce.</w:t>
      </w:r>
    </w:p>
    <w:p>
      <w:r>
        <w:t>- 7/15 - A/3336/2023 En effet, les époux étant séparés depuis le ______ 2021, la recourante ne saurait déduire de droit au séjour découlant de son mariage sur la base de l’accord du 21 juin 1999 entre la Confédération suisse d'une part, et la Communauté européenne et ses Etats membres, d'autre part, sur la libre circulation des personnes (ALCP - RS 0.142.112.681) sans commettre un abus de droit, l’union conjugale étant à ce jour manifestement vidée de sa substance.</w:t>
      </w:r>
    </w:p>
    <w:p>
      <w:r>
        <w:t>L’éventuelle poursuite du séjour de la recourante doit ainsi être examinée à la lumière des dispositions applicables après la dissolution de la famille (cf. arrêt du Tribunal fédéral 2C_222/2017 du 29 novembre 2017 consid. 4.7 ; 2C_390/2014 du 22 janvier 2015 consid. 3.1 ; ATA/619/2014 du 12 août 2014 consid. 6 et 7), cette question étant régie par les dispositions de la LEI et ses ordonnances d'exécution (arrêts du Tribunal fédéral 2C_213/2012 du 13 mars 2012 consid. 2.2.1 ; 2C_488/2010 du 2 novembre 2010 consid. 1.4).</w:t>
      </w:r>
    </w:p>
    <w:p>
      <w:r>
        <w:rPr>
          <w:b/>
        </w:rPr>
        <w:t>E. 7</w:t>
      </w:r>
    </w:p>
    <w:p>
      <w:r>
        <w:t>Selon la jurisprudence, le conjoint et les enfants d’un ressortissant de l’UE au bénéfice d’un droit de séjour en Suisse doivent être traités de la même manière que les membres de la famille d’un ressortissant suisse au regard de l’art. 50 LEI. Par conséquent, le conjoint étranger vivant séparé d’un ressortissant d’un État membre de l’UE peut se prévaloir de l’art. 50 LEI, même si son conjoint n’est au bénéfice que d’une autorisation de séjour UE/AELE et pas d’une autorisation d’établissement (arrêt du Tribunal fédéral 2C_222/2017 du 29 novembre 2017 consid. 4.7 ; Secrétariat d’État aux migrations [ci-après : SEM], Directives et commentaires, Domaine des étrangers, état au 1er mars 2023, ch. 6.15).</w:t>
      </w:r>
    </w:p>
    <w:p>
      <w:r>
        <w:rPr>
          <w:b/>
        </w:rPr>
        <w:t>E. 8</w:t>
      </w:r>
    </w:p>
    <w:p>
      <w:r>
        <w:t>Conformément à l’art. 50 al. 1 let. a LEI, après dissolution de la famille, le droit du conjoint à l’octroi d’une autorisation de séjour et à la prolongation de sa durée de validité en vertu de l’art. 43 LEI subsiste lorsque l’union conjugale a duré au moins trois ans et que les critères d’intégration définis à l’art. 58a LEI sont remplis. Il s’agit de deux conditions cumulatives (ATF 140 II 345 consid. 4 ; arrêt du Tribunal fédéral 2C_417/2021 du 16 juin 2021 consid. 5.3 ; ATA/1333/2021 du 7 décembre 2021 consid. 6c). Le délai de trois ans prévu par cette disposition commence à courir dès le début de la cohabitation effective des époux en Suisse et s'achève au moment où ceux-ci cessent de faire ménage commun (ATF 140 II 345 consid. 4.1 ; 138 II 229 consid. 2; 136 II 113 consid. 3.3.3 ; arrêt du Tribunal fédéral 2C_417/2021 du 16 juin 2021 consid. 5.3). Peu importe combien de temps le mariage perdure encore formellement par la suite (ATF 136 II 113 consid. 3.2 et</w:t>
      </w:r>
    </w:p>
    <w:p>
      <w:r>
        <w:rPr>
          <w:b/>
        </w:rPr>
        <w:t>E. 9</w:t>
      </w:r>
    </w:p>
    <w:p>
      <w:r>
        <w:t>En l'espèce, la recourante et M. B______ se sont mariés en Angleterre le ______ 2021. Leur vie commune en Suisse a débuté le 21 novembre 2021 et s’est achevée</w:t>
      </w:r>
    </w:p>
    <w:p>
      <w:r>
        <w:t>- 8/15 - A/3336/2023 par leur séparation dès le ______ 2021, de sorte que leur vie commune en Suisse a manifestement duré moins de trois ans. Qu’ils se seraient revus à quelques reprises depuis lors n’y change rien, l’absence de volonté d’une reprise de la vie commune ayant été clairement exprimée par M. B______. Partant, dans la mesure où les deux conditions posées par l'art. 50 al. 1 let. a LEI sont cumulatives et que la première d'entre elles n'est pas remplie, il n'y a pas lieu d'examiner si l’intégration de la recourante est réussie au sens de cette disposition (ATF 140 II 289 consid. 3.5.3 ; 136 II consid. 3.3.3 ; arrêt du Tribunal fédéral 2C_621/2015 du 11 décembre 2015 consid. 5.1 ; ATA/978/2019 du 4 juin 2019 consid. 5c ; ATA/203/2018 du 6 mars 2018 consid. 4a). Elle ne peut ainsi déduire aucun droit de l'art. 50 al. 1 let. a LEI.</w:t>
      </w:r>
    </w:p>
    <w:p>
      <w:r>
        <w:rPr>
          <w:b/>
        </w:rPr>
        <w:t>E. 10</w:t>
      </w:r>
    </w:p>
    <w:p>
      <w:r>
        <w:t>Reste à examiner si la poursuite du séjour de la recourante en Suisse s'imposerait pour des raisons personnelles majeures au sens de l'art. 50 al. 1 let. b LEI.</w:t>
      </w:r>
    </w:p>
    <w:p>
      <w:r>
        <w:rPr>
          <w:b/>
        </w:rPr>
        <w:t>E. 11</w:t>
      </w:r>
    </w:p>
    <w:p>
      <w:r>
        <w:t>Après la dissolution de la famille, l'art. 50 al. 1 let. b LEI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l'art. 50 al. 1 let. a LEI ne sont pas données, soit que la vie commune en Suisse a duré moins de trois ans, soit que l'intégration n'est pas réussie (ATF 138 II 393 consid. 3.1 et arrêts cités), mais où des raisons personnelles majeures l'imposent.</w:t>
      </w:r>
    </w:p>
    <w:p>
      <w:r>
        <w:rPr>
          <w:b/>
        </w:rPr>
        <w:t>E. 12</w:t>
      </w:r>
    </w:p>
    <w:p>
      <w:r>
        <w:t>C'est sur la base des circonstances de l'espèce qu'il s'agit de déterminer si l'on est en présence d'un cas de rigueur, soit de « raisons personnelles majeures » qui « imposent » la prolongation du séjour en Suisse (ATF 137 II 1 consid. 4.1). Il s'agit de motifs personnels graves exigeant la poursuite du séjour en ce pays (ATF 138 II 393 consid. 3.1; 138 II 229 consid. 3.1).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manœuvre fondée sur des motifs humanitaires. Quant à la réintégration sociale dans le pays d'origine, il ne suffit pas que cette dernière soit difficile, encore faut-il qu'elle paraisse fortement compromise (« stark gefährdet »,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137 II 345 consid. 3.2.2; 137 II 1 consid. 4.1). Le simple fait que l'étranger doive retrouver des conditions de vie qui sont usuelles dans son pays de provenance ne constitue pas une raison personnelle majeure au sens de l'art. 50 LEI, même si ces conditions de vie sont</w:t>
      </w:r>
    </w:p>
    <w:p>
      <w:r>
        <w:t>- 9/15 - A/3336/2023 moins avantageuses que celles dont cette personne bénéficie en Suisse (arrêt du Tribunal fédéral 2C_112/2020 du 9 juin 2020 consid. 5.1 et les références).</w:t>
      </w:r>
    </w:p>
    <w:p>
      <w:r>
        <w:rPr>
          <w:b/>
        </w:rPr>
        <w:t>E. 13</w:t>
      </w:r>
    </w:p>
    <w:p>
      <w:r>
        <w:t>L’art. 77 al. 2 OASA précise que les raisons personnelles majeures visées à l’art. 50 al. 1 let. b LEI, sont notamment données lorsque le conjoint est victime de violence conjugale ou lorsque le mariage a été conclu en violation de la libre volonté d’un des époux ou que la réintégration sociale dans le pays de provenance semble fortement compromise.</w:t>
      </w:r>
    </w:p>
    <w:p>
      <w:r>
        <w:rPr>
          <w:b/>
        </w:rPr>
        <w:t>E. 14</w:t>
      </w:r>
    </w:p>
    <w:p>
      <w:r>
        <w:t>L'énumération de ces cas n'est pas exhaustive et laisse aux autorités une certaine liberté d'appréciation fondée sur des motifs humanitaires (ATF 136 II 1 consid. 5.3).</w:t>
      </w:r>
    </w:p>
    <w:p>
      <w:r>
        <w:rPr>
          <w:b/>
        </w:rPr>
        <w:t>E. 15</w:t>
      </w:r>
    </w:p>
    <w:p>
      <w:r>
        <w:t>Si la violence conjugale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w:t>
      </w:r>
    </w:p>
    <w:p>
      <w:r>
        <w:rPr>
          <w:b/>
        </w:rPr>
        <w:t>E. 16</w:t>
      </w:r>
    </w:p>
    <w:p>
      <w:r>
        <w:t>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w:t>
      </w:r>
    </w:p>
    <w:p>
      <w:r>
        <w:rPr>
          <w:b/>
        </w:rPr>
        <w:t>E. 17</w:t>
      </w:r>
    </w:p>
    <w:p>
      <w:r>
        <w:t>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w:t>
      </w:r>
    </w:p>
    <w:p>
      <w:r>
        <w:rPr>
          <w:b/>
        </w:rPr>
        <w:t>E. 18</w:t>
      </w:r>
    </w:p>
    <w:p>
      <w:r>
        <w:t>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et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w:t>
      </w:r>
    </w:p>
    <w:p>
      <w:r>
        <w:t>- 10/15 - A/3336/2023 Des affirmations d'ordre général ou des indices faisant état de tensions ponctuelles sont insuffisants (ATF 138 II 229 consid. 3.2.3 ; arrêts du Tribunal fédéral 2C_12/2018 précité consid. 3.2 ; 2C_401/2018 du 17 septembre 2018 consid. 4.2). 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ne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w:t>
      </w:r>
    </w:p>
    <w:p>
      <w:r>
        <w:rPr>
          <w:b/>
        </w:rPr>
        <w:t>E. 19</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Tribunal fédéral 2C_68/2017 du 29 novembre 2017 consid. 5.4.1).</w:t>
      </w:r>
    </w:p>
    <w:p>
      <w:r>
        <w:rPr>
          <w:b/>
        </w:rPr>
        <w:t>E. 20</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 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w:t>
      </w:r>
    </w:p>
    <w:p>
      <w:r>
        <w:t>- 11/15 - A/3336/2023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Par durée assez longue du séjour, on entend une période de sept à huit ans (arrêt du Tribunal administratif fédéral C-7330/2010 du 19 mars 2012 ; ATA/1538/2017 du 28 novembre 2017).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w:t>
      </w:r>
    </w:p>
    <w:p>
      <w:r>
        <w:rPr>
          <w:b/>
        </w:rPr>
        <w:t>E. 21</w:t>
      </w:r>
    </w:p>
    <w:p>
      <w:r>
        <w:t>Il est possible de déroger aux conditions d’admission pour tenir compte d’intérêts publics majeurs (art. 30 al. 1 let. b LEI).</w:t>
      </w:r>
    </w:p>
    <w:p>
      <w:r>
        <w:rPr>
          <w:b/>
        </w:rPr>
        <w:t>E. 22</w:t>
      </w:r>
    </w:p>
    <w:p>
      <w:r>
        <w:t>Selon l’art. 32 OASA, une autorisation de courte durée ou une autorisation de séjour peut être accordée en vue de préserver des intérêts publics majeurs. Lors de l’appréciation, il convient notamment de tenir compte : b) de la nécessité de la présence d’un étranger dans une procédure pénale.</w:t>
      </w:r>
    </w:p>
    <w:p>
      <w:r>
        <w:rPr>
          <w:b/>
        </w:rPr>
        <w:t>E. 23</w:t>
      </w:r>
    </w:p>
    <w:p>
      <w:r>
        <w:t>L’expression « intérêts publics majeurs » au sens des dispositions précitées constitue une notion juridique indéterminée. Une application trop large serait incompatible avec la LEI et l’OASA (arrêt du Tribunal administratif fédéral F-4838/2020 du 1er décembre 2022 consid. 6.2 ; directives et commentaires du secrétariat d’État aux migrations, domaine des étrangers, p. 91 ch. 5.5, état au 1er septembre 2023). Les cantons n'appliquent cette réglementation d'exception qu'avec une grande retenue - par comparaison avec l'admission ordinaire. Ces facilités d'admission avaient été explicitement souhaitées à l'époque par le législateur et les cantons et correspondent à une pratique précédant l'entrée en vigueur de la LEI. Dans les faits, il est très rare que des autorisations de séjour de courte durée soient accordées en application de l'art. 30 al. 1 let. b LEI, en lien avec l'art. 32 al. 1 OASA. La compétence d'accorder une autorisation de séjour sur la base d'intérêts publics majeurs revient aux cantons. Ce sont eux qui décident, de leur propre initiative, de faire une demande en ce sens auprès du SEM, qui prend la décision finale. L’autorité cantonale doit cependant démontrer qu’elle a un intérêt particulièrement</w:t>
      </w:r>
    </w:p>
    <w:p>
      <w:r>
        <w:t>- 12/15 - A/3336/2023 important. Il s'agit toujours de décisions au cas par cas (JTAPI/1075/2023 du 4 octobre 2023 consid. 13).</w:t>
      </w:r>
    </w:p>
    <w:p>
      <w:r>
        <w:rPr>
          <w:b/>
        </w:rPr>
        <w:t>E. 24</w:t>
      </w:r>
    </w:p>
    <w:p>
      <w:r>
        <w:t>En l'espèce, la recourante n'allègue pas que son mariage aurait été conclu en violation de sa libre volonté, mais soutient avoir fait l’objet de violences conjugales de la part de M. B______. Or, les pièces produites à l’appui de ses allégations ne sauraient suffire à démontrer l’existence des violences subies et/ou leur intensité. S’agissant tout d’abord des attestations de la LAVI du 12 avril 2022, des HUG du</w:t>
      </w:r>
    </w:p>
    <w:p>
      <w:r>
        <w:rPr>
          <w:b/>
        </w:rPr>
        <w:t>E. 25</w:t>
      </w:r>
    </w:p>
    <w:p>
      <w:r>
        <w:t>Au vu de ce qui précède, c’est à bon droit que l’OCPM a refusé d’octroyé une autorisation de séjour de la recourante.</w:t>
      </w:r>
    </w:p>
    <w:p>
      <w:r>
        <w:rPr>
          <w:b/>
        </w:rPr>
        <w:t>E. 26</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27</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28</w:t>
      </w:r>
    </w:p>
    <w:p>
      <w:r>
        <w:t>La recourante n'obtenant pas le droit de séjourner en Suisse, c'est également à bon droit que l'autorité intimée a prononcé son renvoi.</w:t>
      </w:r>
    </w:p>
    <w:p>
      <w:r>
        <w:rPr>
          <w:b/>
        </w:rPr>
        <w:t>E. 29</w:t>
      </w:r>
    </w:p>
    <w:p>
      <w:r>
        <w:t>Reste toutefois à déterminer si l'exécution de cette mesure est possible, licite et peut être raisonnablement exigée.</w:t>
      </w:r>
    </w:p>
    <w:p>
      <w:r>
        <w:rPr>
          <w:b/>
        </w:rPr>
        <w:t>E. 30</w:t>
      </w:r>
    </w:p>
    <w:p>
      <w:r>
        <w:t>Le SEM décide d'admettre à titre provisoire l'étranger si l'exécution du renvoi ou de l'expulsion n'est pas possible, n'est pas licite ou ne peut être raisonnablement exigée (art. 83 al. 1 LEI). L'admission provisoire peut être proposée par les autorités cantonales (art. 83 al. 6 LEI).</w:t>
      </w:r>
    </w:p>
    <w:p>
      <w:r>
        <w:rPr>
          <w:b/>
        </w:rPr>
        <w:t>E. 31</w:t>
      </w:r>
    </w:p>
    <w:p>
      <w:r>
        <w:t>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32</w:t>
      </w:r>
    </w:p>
    <w:p>
      <w:r>
        <w:t>Cette disposition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w:t>
      </w:r>
    </w:p>
    <w:p>
      <w:r>
        <w:t>- 14/15 - A/3336/2023</w:t>
      </w:r>
    </w:p>
    <w:p>
      <w:r>
        <w:rPr>
          <w:b/>
        </w:rPr>
        <w:t>E. 33</w:t>
      </w:r>
    </w:p>
    <w:p>
      <w:r>
        <w:t>En l’espèce, force est de retenir que la recourante n’a pas établi l’existence d’obstacles à son renvoi. En particulier, elle n’a pas démontré l’existence d’une mise en danger concrète en cas de retour en Equateur, se limitant à évoquer des problèmes de violence liée notamment aux gangs, dans son pays, soit des considérations d’ordre général affectant l’ensemble de la population sur place. Enfin, si la recourante ne souhaite pas retourner dans son pays d’origine, il lui est loisible d’entreprendre - ou de poursuivre - des démarches auprès des autorités du Royaume-Uni afin d’être autorisée à séjourner dans ce pays.</w:t>
      </w:r>
    </w:p>
    <w:p>
      <w:r>
        <w:rPr>
          <w:b/>
        </w:rPr>
        <w:t>E. 34</w:t>
      </w:r>
    </w:p>
    <w:p>
      <w:r>
        <w:t>En conclusion, mal fondé, le recours sera rejeté et la décision contestée confirmée.</w:t>
      </w:r>
    </w:p>
    <w:p>
      <w:r>
        <w:rPr>
          <w:b/>
        </w:rPr>
        <w:t>E. 35</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w:t>
      </w:r>
    </w:p>
    <w:p>
      <w:r>
        <w:rPr>
          <w:b/>
        </w:rPr>
        <w:t>E. 36</w:t>
      </w:r>
    </w:p>
    <w:p>
      <w:r>
        <w:t>Vu l’issue du litige, aucune indemnité de procédure ne sera allouée (art. 87 al. 2 LPA).</w:t>
      </w:r>
    </w:p>
    <w:p>
      <w:r>
        <w:rPr>
          <w:b/>
        </w:rPr>
        <w:t>E. 37</w:t>
      </w:r>
    </w:p>
    <w:p>
      <w:r>
        <w:t>En vertu des art. 89 al. 2 et 111 al. 2 de la loi sur le Tribunal fédéral du 17 juin 2005 (LTF - RS 173.110), le présent jugement sera communiqué au secrétariat d'État aux migrations.</w:t>
      </w:r>
    </w:p>
    <w:p>
      <w:r>
        <w:t>- 15/15 - A/3336/2023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