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JTAPI/183/2024 vom 9. Dezember 2014</w:t>
      </w:r>
    </w:p>
    <w:p>
      <w:r>
        <w:t>GE Cour de justice, 2014-12-09, FR</w:t>
      </w:r>
    </w:p>
    <w:p>
      <w:r>
        <w:rPr>
          <w:b/>
        </w:rPr>
        <w:t xml:space="preserve">Quelle: </w:t>
      </w:r>
      <w:r>
        <w:t>https://mcp.opencaselaw.ch/entscheid/ge_gerichte_JTAPI_183_2024</w:t>
      </w:r>
    </w:p>
    <w:p>
      <w:r>
        <w:t>FR: GE_GERICHTE JTAPI/183/2024 du 9 décembre 2014</w:t>
      </w:r>
    </w:p>
    <w:p>
      <w:r>
        <w:t>IT: GE_GERICHTE JTAPI/183/2024 del 9 dicembre 2014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- 6/12 - A/3468/2023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conteste la décision de l'OCPM, en se prévalant du fait que son mariage avait duré plus de trois ans.</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w:t>
      </w:r>
    </w:p>
    <w:p>
      <w:r>
        <w:rPr>
          <w:b/>
        </w:rPr>
        <w:t>E. 7</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8</w:t>
      </w:r>
    </w:p>
    <w:p>
      <w:r>
        <w:t>L’exigence du ménage commun prévue aux art. 42 à 44 n’est pas applicable lorsque la communauté familiale est maintenue et que des raisons majeures justifiant l’existence de domiciles séparés peuvent être invoquées (art. 49 LEI).</w:t>
      </w:r>
    </w:p>
    <w:p>
      <w:r>
        <w:rPr>
          <w:b/>
        </w:rPr>
        <w:t>E. 9</w:t>
      </w:r>
    </w:p>
    <w:p>
      <w:r>
        <w:t>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w:t>
      </w:r>
    </w:p>
    <w:p>
      <w:r>
        <w:t>- 7/12 - A/3468/2023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 De jurisprudence constante, le calcul de la période minimale de trois ans commence à courir dès le début de la cohabitation effective des époux en Suisse et s'achève au moment où ceux-ci cessent de faire ménage commun (ATF 140 II 345 consid. 4.1)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w:t>
      </w:r>
    </w:p>
    <w:p>
      <w:r>
        <w:rPr>
          <w:b/>
        </w:rPr>
        <w:t>E. 10</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w:t>
      </w:r>
    </w:p>
    <w:p>
      <w:r>
        <w:rPr>
          <w:b/>
        </w:rPr>
        <w:t>E. 11</w:t>
      </w:r>
    </w:p>
    <w:p>
      <w:r>
        <w:t>En l'espèce, bien qu’ayant résidé précédemment en Suisse dans le cadre de ses études, le recourant est arrivé en Suisse, selon le formulaire de demande d’autorisation de séjour déposé le 13 juillet 2017 auprès de l’OCPM, le 12 juillet précédent et a été mis au bénéfice d'une autorisation de séjour dans le cadre du regroupement familial afin de pouvoir résider auprès de son épouse avec qui il s’était marié le ______ 2017 à Genève. Le couple était domicilié au ______[GE] selon attestation de la locataire principale et 4 personnes vivaient dans le logement soit Mme D______ et M. B______, les locataires titulaires du bail et eux deux. Le 17 juillet 2019, le recourant a annoncé son changement d’adresse au moyen du formulaire idoine, cochant sous la rubrique « Le changement d’adresse concerne-t- il le conjoint(e)/partenaire », la case « non » et sous celle « Si non, s’agit-il d’une séparation » la case « oui » ; il indiquait comme nouvelle adresse le ______[GE] chez Mme E______, laquelle attestait formellement qu’il ne s’agissait pas d’une boite aux lettres mais que M. A______ habitait physiquement à son domicile. Quant à Mme C______, elle était domiciliée chez Mme G______ au ______[GE] depuis le 10 juillet 2019 selon Calvin. Les époux ont confirmé leur séparation, qui avait eu lieu le ______ 2019 et la constitution de domiciles séparés dans leur convention de divorce datée du 28 avril 2020. Par ailleurs, dans le cadre de divers échanges de courriers concernant le renouvellement de son autorisation de séjour entre le recourant et l’OCPM en 2022, le libellé des courriers de l’OCPM comportait clairement la mention de la séparation des époux, mention que le recourant n’a jamais contestée et qu’il a lui-même reprise dans son courrier du 14 décembre 2022.</w:t>
      </w:r>
    </w:p>
    <w:p>
      <w:r>
        <w:t>- 8/12 - A/3468/2023 Ce n’est qu’après avoir reçu le courrier du l’OCPM du 24 mai 2023 l’informant de son intention de constater la caducité de son autorisation de séjour du fait que sa relation conjugale avait duré moins de trois ans que le recourant a fourni de nouvelles explications sur sa situation conjugale et fait valoir que des erreurs étaient présentes dans les documents en mains de l’OCPM, affirmant avoir jusqu’en décembre 2020 continué à vivre sous le même toit que sa femme et ainsi maintenu une union conjugale, laquelle, selon ses propres dires, avait même été maintenu après le prononcé du divorce, ce dernier ne signifiant pas pour son ex-femme et lui la rupture de leur relation. Concernant les motifs de la constitution d’un domicile séparé avec son épouse en 2019, il a fait savoir dans son recours qu’il avait vécu avec sa femme et les deux enfants de cette dernière à l’adresse ______[GE] et qu’il leur avait été difficile de trouver un autre logement suite à un différend avec leur bailleur. Or, non seulement ils n’étaient pas locataires de l’appartement mais, selon Calvin, M. I______, premier fils de Mme C______ n’a jamais été domicilié à Genève mais réside à K______ (FR) et Monsieur J______, son second fils est arrivé à Genève à 16 septembre 2021. Par ailleurs, le 31 octobre 2019, Mme D______ et M. B______ ont indiqué que seuls Mme C______ et M. A______ habitaient avec eux, sans jamais évoquer les enfants de Mme C______. Il découle de ce qui précède que la version des faits relatifs à sa situation conjugale et aux raisons qui ont prévalu à une domiciliation séparée d’avec son épouse en 2019 ont fortement variés depuis le courrier du l’OCPM du 24 mai 2023. Or, selon la jurisprudence, 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Il doit ainsi être retenu que les époux se sont séparées en tout cas en juillet 2019, soit moins de trois ans après leur mariage. Au vu de ce qui précède, c’est à juste titre que l’OCPM a retenu que l’union conjugale avait duré moins de trois ans et il n’y a pas place pour une application de l’art. 49 LEI.</w:t>
      </w:r>
    </w:p>
    <w:p>
      <w:r>
        <w:rPr>
          <w:b/>
        </w:rPr>
        <w:t>E. 12</w:t>
      </w:r>
    </w:p>
    <w:p>
      <w:r>
        <w:t>Dans la mesure où les deux conditions posées par l'art. 50 al. 1 let. a LEI sont cumulatives et que la première d'entre elles n'est pas remplie, il n'y a pas lieu d'examiner si l'intégration du recourant est réussie (cf. ATF 140 II 289 consid. 3.5.3 ; 136 II consid. 3.3.3 ; arrêt du Tribunal fédéral 2C_621/2015 du 11 décembre 2015 consid. 5.1 ; ATA/ 978/2019 du 4 juin 2019 consid. 5c ; ATA/203/2018 du 6 mars 2018 consid. 4a).</w:t>
      </w:r>
    </w:p>
    <w:p>
      <w:r>
        <w:rPr>
          <w:b/>
        </w:rPr>
        <w:t>E. 13</w:t>
      </w:r>
    </w:p>
    <w:p>
      <w:r>
        <w:t>Le recourant ne pouvant déduire aucun droit de l’art. 50 al. 1 let. a LEI, il convient d’examiner si la poursuite de son séjour en Suisse s'imposerait pour des raisons personnelles majeures.</w:t>
      </w:r>
    </w:p>
    <w:p>
      <w:r>
        <w:t>- 9/12 - A/3468/2023</w:t>
      </w:r>
    </w:p>
    <w:p>
      <w:r>
        <w:rPr>
          <w:b/>
        </w:rPr>
        <w:t>E. 14</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15</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w:t>
      </w:r>
    </w:p>
    <w:p>
      <w:r>
        <w:rPr>
          <w:b/>
        </w:rPr>
        <w:t>E. 16</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17</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w:t>
      </w:r>
    </w:p>
    <w:p>
      <w:r>
        <w:rPr>
          <w:b/>
        </w:rPr>
        <w:t>E. 18</w:t>
      </w:r>
    </w:p>
    <w:p>
      <w:r>
        <w:t>Par ailleurs, la personne qui fait valoir que sa réintégration sociale risque d'être fortement compromise en cas de retour dans son pays est tenue de collaborer à l'établissement des faits. De simples déclarations d'ordre général ne suffisent pas ;</w:t>
      </w:r>
    </w:p>
    <w:p>
      <w:r>
        <w:t>- 10/12 - A/3468/2023 les craintes doivent se fonder sur des circonstances concrètes (ATF 138 II 229 consid. 3.2.3).</w:t>
      </w:r>
    </w:p>
    <w:p>
      <w:r>
        <w:rPr>
          <w:b/>
        </w:rPr>
        <w:t>E. 19</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20</w:t>
      </w:r>
    </w:p>
    <w:p>
      <w:r>
        <w:t>En l’espèce, il ne ressort pas du dossier que la réintégration du recourant aux Etats- Unis le placerait dans une situation de rigueur, ce qu’il n’allègue du reste pas. Agé aujourd’hui de 45 ans, il est en bonne santé et a acquis des connaissances professionnelles en Suisse qu’il pourra mettre à profit aux Etats-Unis, pays dans lequel il a certainement déjà exercé une activité professionnelle et où il doit avoir gardé des liens.</w:t>
      </w:r>
    </w:p>
    <w:p>
      <w:r>
        <w:t>Par ailleurs, il ne peut se prévaloir d’une intégration sociale ou professionnelle particulièrement remarquée en Suisse au point de devoir admettre qu’il ne puisse quitter la Suisse dans devoir être confronté à des obstacles insurmontables. En effet, il n’indique pas avoir créé avec la Suisse des attaches si profondes et durables qu’il ne puisse plus raisonnablement envisager son retour aux Etats-Unis. De plus, il perçoit des prestations de l’Hospice général depuis le 1er juin 2021 et, malgré ses dires, en a encore perçu en janvier 2024.</w:t>
      </w:r>
    </w:p>
    <w:p>
      <w:r>
        <w:t>Les conditions posées par l’art. 50 al. 1 let. b et al. 2 LEI ne sont ainsi pas remplies.</w:t>
      </w:r>
    </w:p>
    <w:p>
      <w:r>
        <w:rPr>
          <w:b/>
        </w:rPr>
        <w:t>E. 21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22</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 Dans la mesure où le recourant n’obtient pas le renouvellement de son autorisation de séjour, c'est également à bon droit que l'autorité intimée a prononcé son renvoi de Suisse. Pour le surplus, il n'apparaît pas que l'exécution de cette mesure ne serait pas possible, serait illicite ou qu'elle ne pourrait être raisonnablement exigée au sens de l'art. 83 LEI.</w:t>
      </w:r>
    </w:p>
    <w:p>
      <w:r>
        <w:rPr>
          <w:b/>
        </w:rPr>
        <w:t>E. 23</w:t>
      </w:r>
    </w:p>
    <w:p>
      <w:r>
        <w:t>Infondé,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w:t>
      </w:r>
    </w:p>
    <w:p>
      <w:r>
        <w:t>- 11/12 - A/3468/2023 CHF 500.-. Vu l’issue du litige, aucune indemnité de procédure ne sera allouée (art. 87 al. 2 LPA).</w:t>
      </w:r>
    </w:p>
    <w:p>
      <w:r>
        <w:rPr>
          <w:b/>
        </w:rPr>
        <w:t>E. 25</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26</w:t>
      </w:r>
    </w:p>
    <w:p>
      <w:r>
        <w:t>En vertu des art. 89 al. 2 et 111 al. 2 de la loi sur le Tribunal fédéral du 17 juin 2005 (LTF - RS 173.110), le présent jugement sera communiqué au secrétariat d'État aux migrations.</w:t>
      </w:r>
    </w:p>
    <w:p>
      <w:r>
        <w:t>- 12/12 - A/3468/2023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