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JTAPI/178/2022 vom 24. Februar 2022</w:t>
      </w:r>
    </w:p>
    <w:p>
      <w:r>
        <w:t>GE Cour de justice, 2022-02-24, FR</w:t>
      </w:r>
    </w:p>
    <w:p>
      <w:r>
        <w:rPr>
          <w:b/>
        </w:rPr>
        <w:t xml:space="preserve">Quelle: </w:t>
      </w:r>
      <w:r>
        <w:t>https://mcp.opencaselaw.ch/entscheid/ge_gerichte_JTAPI_178_2022</w:t>
      </w:r>
    </w:p>
    <w:p>
      <w:r>
        <w:t>FR: GE_GERICHTE JTAPI/178/2022 du 24 février 2022</w:t>
      </w:r>
    </w:p>
    <w:p>
      <w:r>
        <w:t>IT: GE_GERICHTE JTAPI/178/2022 del 24 febbraio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5</w:t>
      </w:r>
    </w:p>
    <w:p>
      <w:r>
        <w:t>Dans un premier grief, la recourante conteste la décision litigieuse dans la mesure où elle fixe un délai de 90 jours pour exécuter les travaux de mise en conformité à l'autorisation complémentaire. Le délai serait trop court, vu les nombreuses modifications déjà apportées, la nature des travaux les plus contraignants restant à réaliser – soit la réaffectation du logement en bureaux alors qu'une famille y</w:t>
      </w:r>
    </w:p>
    <w:p>
      <w:r>
        <w:t>- 9/15 - A/2638/2021 habite depuis 8 ans –, la situation sanitaire et l'état de santé de l'administrateur de la société. Elle ne conteste ainsi pas, à juste titre, l'ordre de mise en conformité dans son principe mais uniquement son délai d'exécution.</w:t>
      </w:r>
    </w:p>
    <w:p>
      <w:r>
        <w:rPr>
          <w:b/>
        </w:rPr>
        <w:t>E. 6</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7</w:t>
      </w:r>
    </w:p>
    <w:p>
      <w:r>
        <w:t>Aucun travail ne doit être entrepris avant que l'autorisation n'ait été délivrée (art. 1 al. 7 1ère phrase LCI).</w:t>
      </w:r>
    </w:p>
    <w:p>
      <w:r>
        <w:rPr>
          <w:b/>
        </w:rPr>
        <w:t>E. 8</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9</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10</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 123 II 248 consid. 3a/bb ; arrêts du Tribunal fédéral 1C_60/2021 du 27 juillet 2021 consid. 3.1 ; 1C_569/2020 du 25 février 2021 consid. 2.4 ; 1C_341/2019 du 24 août 2020 consid. 6.1 ;</w:t>
      </w:r>
    </w:p>
    <w:p>
      <w:r>
        <w:t>- 10/15 - A/2638/2021 1C_114/2018 du 21 juin 2019 consid. 5.1.2 ; 1C_237/2018 du 29 janvier 2019 consid. 2.3 ; cf. aussi not. ATA/1399/2019 du 17 septembre 2019 consid. 3c).</w:t>
      </w:r>
    </w:p>
    <w:p>
      <w:r>
        <w:rPr>
          <w:b/>
        </w:rPr>
        <w:t>E. 11</w:t>
      </w:r>
    </w:p>
    <w:p>
      <w:r>
        <w:t>À cet égard, celui qui place l'autorité devant un fait accompli doit s'attendre à ce qu'elle se préoccupe davantage de rétablir une situation conforme au droit, que des inconvénients qui en découlent pour le constructeur (ATA/738/2017 du 3 octobre 2017 consid. 8 ; ATA/829/2016 du 4 octobre 2016).</w:t>
      </w:r>
    </w:p>
    <w:p>
      <w:r>
        <w:rPr>
          <w:b/>
        </w:rPr>
        <w:t>E. 12</w:t>
      </w:r>
    </w:p>
    <w:p>
      <w:r>
        <w:t>En outre, les décisions de l'administration ainsi que les déclarations et comportements des parties à un rapport de droit public, sont soumises au principe de la confiance, dérivé du principe général de la bonne foi.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crée une obligation réciproque. Ainsi, une attention adéquate peut être exigée de l'administré (ATF 115 II 415 consid. 3a ; 107 Ia 193 consid. 3c et les réf. citées).</w:t>
      </w:r>
    </w:p>
    <w:p>
      <w:r>
        <w:rPr>
          <w:b/>
        </w:rPr>
        <w:t>E. 13</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w:t>
      </w:r>
    </w:p>
    <w:p>
      <w:r>
        <w:rPr>
          <w:b/>
        </w:rPr>
        <w:t>E. 14</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15</w:t>
      </w:r>
    </w:p>
    <w:p>
      <w:r>
        <w:t>En l'espèce, il faut rappeler que depuis le 17 octobre 2017, date de l'inspection sur place, la recourante a été avertie que le département avait constaté des irrégularités par rapport à ce qui avait été initialement autorisé, notamment l'occupation d'un logement sans permis d'occuper, situation susceptible de constituer une infraction à l'art. 7 LCI. À cet égard, un premier ordre de remise en conformité au droit avait été prononcé le 20 février 2019, s'agissant de toutes les irrégularités constatées, avec un délai d'exécution de 90 jours, sous réserve du dépôt d'une demande d'autorisation complémentaire pour tenter de régulariser certaines de ces irrégularités, laquelle est entrée en force sans avoir été contestée. En outre, il ressort des observations de la recourante du 31 janvier 2019 relatives à cette décision que celle-ci s'est volontairement écartée des plans de l'autorisation</w:t>
      </w:r>
    </w:p>
    <w:p>
      <w:r>
        <w:t>- 11/15 - A/2638/2021 initiale durant la construction du bâtiment, et ce, pour différents motifs. Enfin, après avoir délivré une autorisation de construire complémentaire régularisant certaines de ces modifications, le département a prononcé un nouvel ordre de remise en conformité au droit s'agissant des travaux qui n'avaient pas été régularisés par l'autorisation complémentaire, lesquels portent essentiellement sur la réduction de la surface de l'appartement de fonction et à sa réaffectation en bureaux. Le département pouvait ainsi, sur le principe, exiger la mise en conformité de la situation conformément à la DD 2______/2 qui avait précisément pour objet de valider les travaux non conformes aux autorisations délivrées qui pouvaient l'être.</w:t>
      </w:r>
    </w:p>
    <w:p>
      <w:r>
        <w:rPr>
          <w:b/>
        </w:rPr>
        <w:t>E. 16</w:t>
      </w:r>
    </w:p>
    <w:p>
      <w:r>
        <w:t>Reste à examiner le délai de 90 jours imparti pour ce faire, et non pas de 30 jours comme retenu par la recourante. Certes, comme le relève l'autorité intimée, il s'est écoulé un délai relativement important entre les constats effectués le 17 octobre 2017 et l'autorisation de construire délivrée le 7 mai 2021. Il n'est cependant pas possible de soutenir que la recourante aurait pu et dû mettre ce délai à profit pour corriger les éléments non-autorisé de l'immeuble, sauf à ignorer qu'elle était dans le même temps engagée dans une procédure de demande complémentaire visant justement à légaliser ces éléments et à ne pas devoir les remettre en état. Ce n'est en réalité qu'au moment où l'autorisation complémentaire est entrée en force (soit au début du mois de juin 2021) que la recourante (de même que l'autorité intimée) a pu déterminer avec certitude quels étaient les éléments qu'il restait à mettre en conformité avec le droit, en particulier s'agissant des surfaces à reconvertir en bureaux. Un délai de remise en état ne saurait par nature être fixé de manière abstraite, puisqu'il s'agit, tout en soumettant la personne concernée à une certaine contrainte de temps, de déterminer de manière adéquate (par application du principe de proportionnalité) le temps dont elle a besoin a minima pour se mettre en règle en faisant preuve de toute la diligence que l'on peut attendre d'elle. Il en découle que l'ampleur et la nature de la remise en état doit conduire l'autorité intimée à une appréciation au cas par cas, en prenant en considération, de manière tout à fait concrète, les difficultés auxquelles la personne concernée risque d'être confrontée, notamment sur le plan conjoncturel. Dans le cas d'espèce, la nécessité non seulement de procéder à des travaux modifiant le logement litigieux, mais de devoir cas échéant déplacer la famille qui l'occupe actuellement, ne permet pas de retenir un délai de 90 jours comme suffisant, en particulier eu égard à l'état du marché locatif dans le canton de Genève. Il apparaît pour ce motif que le principe de proportionnalité commande qu'un délai de six mois soit imparti à la recourante.</w:t>
      </w:r>
    </w:p>
    <w:p>
      <w:r>
        <w:t>- 12/15 - A/2638/2021</w:t>
      </w:r>
    </w:p>
    <w:p>
      <w:r>
        <w:t>Partant, le grief de la recourant doit ainsi être partiellement admis et l'ordre de remise en état confirmé dans son principe mais réformé dans ses modalités.</w:t>
      </w:r>
    </w:p>
    <w:p>
      <w:r>
        <w:rPr>
          <w:b/>
        </w:rPr>
        <w:t>E. 17</w:t>
      </w:r>
    </w:p>
    <w:p>
      <w:r>
        <w:t>Dans un second grief, la recourante conteste la décision litigieuse dans la mesure où elle inflige une amende administrative d'un montant de CHF 5'000.-. Vu les modifications déjà apportées à la situation, son montant devrait être réduit à CHF 2000.-.</w:t>
      </w:r>
    </w:p>
    <w:p>
      <w:r>
        <w:rPr>
          <w:b/>
        </w:rPr>
        <w:t>E. 18</w:t>
      </w:r>
    </w:p>
    <w:p>
      <w:r>
        <w:t>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19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w:t>
      </w:r>
    </w:p>
    <w:p>
      <w:r>
        <w:rPr>
          <w:b/>
        </w:rPr>
        <w:t>E. 20</w:t>
      </w:r>
    </w:p>
    <w:p>
      <w:r>
        <w:t>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rPr>
          <w:b/>
        </w:rPr>
        <w:t>E. 21</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lequel commande que la mesure étatique soit nécessaire et apte à atteindre le but prévu et qu'elle soit raisonnable pour la personne concernée (art. 36 al. 3 Cst. ; ATF 140 I 257 consid. 6.3.1 ; 140 II 194 consid. 5.8.2 ; 139 I 218 consid. 4.3 ; ATA/440/2019 précité et les références citées ; ATA/313/2017 du 21 mars 2017 et les références citées).</w:t>
      </w:r>
    </w:p>
    <w:p>
      <w:r>
        <w:t>- 13/15 - A/2638/2021</w:t>
      </w:r>
    </w:p>
    <w:p>
      <w:r>
        <w:rPr>
          <w:b/>
        </w:rPr>
        <w:t>E. 22</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rPr>
          <w:b/>
        </w:rPr>
        <w:t>E. 23</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consid. 5c ; ATA/19/2018 du 9 janvier 2018 consid. 9d, confirmé par arrêt du Tribunal fédéral 1C_80/2018 du 23 mai 2019 ; ATA/558/2013 du 27 août 2013 consid. 18).</w:t>
      </w:r>
    </w:p>
    <w:p>
      <w:r>
        <w:rPr>
          <w:b/>
        </w:rPr>
        <w:t>E. 24</w:t>
      </w:r>
    </w:p>
    <w:p>
      <w:r>
        <w:t>L'amende doit ainsi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(ATA/719/2012 du 30 octobre 2012 ; Günter STRATRENWERTH, Schweizerisches Strafrecht - Allgemeiner Teil II : Strafen und Massnahmen, 2ème éd., 2006, p. 75 § 75 ; Sandro CHIMICHELLA, Die Geldstrafe in Schweizer Strafrecht, 2006, p. 39).</w:t>
      </w:r>
    </w:p>
    <w:p>
      <w:r>
        <w:rPr>
          <w:b/>
        </w:rPr>
        <w:t>E. 25</w:t>
      </w:r>
    </w:p>
    <w:p>
      <w:r>
        <w:t>À teneur de la jurisprudence, un montant de CHF 5'000.- est a priori adapté aux ressources financières d'une personne morale et correspond à une pratique relativement régulière du département (ATA/422/2020 du 30 avril 2020 consid. 18d; ATA/694/2016 du 23 août 2016 ; ATA/1015/2014 du 16 décembre 2014 ; ATA/260/2014 du 15 avril 2014.</w:t>
      </w:r>
    </w:p>
    <w:p>
      <w:r>
        <w:rPr>
          <w:b/>
        </w:rPr>
        <w:t>E. 26</w:t>
      </w:r>
    </w:p>
    <w:p>
      <w:r>
        <w:t>En l'occurrence, et comme rappelé ci-dessus, en procédant aux travaux en cause sans avoir préalablement sollicité et obtenu une autorisation de construire, la recourante a contrevenu à la LCI. Elle a ainsi assurément commis une faute, ce qu'elle ne conteste pas. L'amende est donc fondée dans son principe.</w:t>
      </w:r>
    </w:p>
    <w:p>
      <w:r>
        <w:t>S'agissant du montant de l'amende, rien ne permet de considérer que le département aurait pris en considération des critères ou éléments sans pertinence pour évaluer la faute et fixer en conséquence le montant de l'amende. Au</w:t>
      </w:r>
    </w:p>
    <w:p>
      <w:r>
        <w:t>- 14/15 - A/2638/2021 contraire, dans sa décision du 11 juin 2021, le département a très clairement indiqué à la recourante les motifs qui l'ont poussé à infliger une telle amende, à savoir le nombre important de modifications réalisées sans autorisation et le fait de l'avoir mis devant le fait accompli. Celui-ci a visiblement fait application du principe de proportionnalité dans ce cadre, puisqu'il a prononcé une amende relativement faible par rapport au maximum prévu par la loi (art. 137 al. 1 LCI), et à la faute commise par la recourante. En effet, il ne faut pas oublier que la recourante a effectué des modifications nombreuses et relativement importantes par rapport au projet initialement autorisé. A teneur des plans produits par la recourante à l'occasion de son courrier du 31 janvier 2019, il s’agit notamment de la création et l'occupation d'un logement de 255 m2 sur une surface totale de 507m2 en lieu et place de deux lots de bureaux identiques d'une surface 247,6 m2 chacun, et ce sans avoir requis la moindre autorisation pendant près de 8 ans. Par ailleurs, la recourante ne démontre pas que le paiement de cette amende l'exposerait à des difficultés financières particulières. Partant, force est d'admettre que le département n'a pas excédé son pouvoir d'appréciation en fixant le montant de l'amende à CHF 5'000.-, et qui reste au demeurant extrêmement modeste au regard du montant maximum prévu par la loi et du comportement adopté par la recourante. Le grief sera donc écarté.</w:t>
      </w:r>
    </w:p>
    <w:p>
      <w:r>
        <w:rPr>
          <w:b/>
        </w:rPr>
        <w:t>E. 27</w:t>
      </w:r>
    </w:p>
    <w:p>
      <w:r>
        <w:t>Le recours est ainsi partiellement admis.</w:t>
      </w:r>
    </w:p>
    <w:p>
      <w:r>
        <w:rPr>
          <w:b/>
        </w:rPr>
        <w:t>E. 28</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Le solde de l'avance de frais, soit CHF 200.-, sera restitué à la recourante. Vu l’issue du litige, aucune indemnité de procédure ne sera allouée (art. 87 al. 2 LPA).</w:t>
      </w:r>
    </w:p>
    <w:p>
      <w:r>
        <w:t>- 15/15 - A/2638/2021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