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JTAPI/177/2022 vom 6. Oktober 2020</w:t>
      </w:r>
    </w:p>
    <w:p>
      <w:r>
        <w:t>GE Cour de justice, 2020-10-06, FR</w:t>
      </w:r>
    </w:p>
    <w:p>
      <w:r>
        <w:rPr>
          <w:b/>
        </w:rPr>
        <w:t xml:space="preserve">Quelle: </w:t>
      </w:r>
      <w:r>
        <w:t>https://mcp.opencaselaw.ch/entscheid/ge_gerichte_JTAPI_177_2022</w:t>
      </w:r>
    </w:p>
    <w:p>
      <w:r>
        <w:t>FR: GE_GERICHTE JTAPI/177/2022 du 6 octobre 2020</w:t>
      </w:r>
    </w:p>
    <w:p>
      <w:r>
        <w:t>IT: GE_GERICHTE JTAPI/177/2022 del 6 ottobre 2020</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et les arrêts cités ; 1C_298/2017 du 30 avril 2018 consid. 2.1). En revanche, une autorité se rend coupable d'un déni de justice formel si elle omet de se prononcer sur des griefs qui présentent une certaine pertinence ou de prendre en considération des allégués et arguments importants pour la décision à rendre (ATF</w:t>
      </w:r>
    </w:p>
    <w:p>
      <w:r>
        <w:t>- 10/22 - A/3095/2021 142 II 154 consid. 4.2 ;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w:t>
      </w:r>
    </w:p>
    <w:p>
      <w:r>
        <w:rPr>
          <w:b/>
        </w:rPr>
        <w:t>E. 3</w:t>
      </w:r>
    </w:p>
    <w:p>
      <w:r>
        <w:t>Saisi d'un recours, le tribunal applique le droit d'office. Il ne peut pas aller au-delà des conclusions des parties, mais n'est lié ni par les motifs invoqués par celles-ci (art. 69 al. 1 LPA), ni par leur argumentation juridique (ATA/285/2013 du 7 mai 2013 ; ATA/402/2012 du 26 juin 2012).</w:t>
      </w:r>
    </w:p>
    <w:p>
      <w:r>
        <w:rPr>
          <w:b/>
        </w:rPr>
        <w:t>E. 3.1</w:t>
      </w:r>
    </w:p>
    <w:p>
      <w:r>
        <w:t>; 8C_72/2018 du 13 novembre 2018 consid. 4.2 s. ; 2C_341/2016 du 3 octobre 2016 consid. 3.1). Le grief formulé à cet égard par la recourante sera dès lors écarté.</w:t>
      </w:r>
    </w:p>
    <w:p>
      <w:r>
        <w:rPr>
          <w:b/>
        </w:rPr>
        <w:t>E. 4</w:t>
      </w:r>
    </w:p>
    <w:p>
      <w:r>
        <w:t>La recourante invoque, dans un premier temps, une violation de son droit d’être entendu, eu égard à l’absence alléguée de prise en compte de sa prise de position du 30 juin 2021 dans le cadre du prononcé de la décision querellée.</w:t>
      </w:r>
    </w:p>
    <w:p>
      <w:r>
        <w:rPr>
          <w:b/>
        </w:rPr>
        <w:t>E. 5</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implique notamment, pour l'autorité, l'obligation de motiver sa décision. Selon une jurisprudence constante, l'obligation de motiver n'impose pas à cette dernière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w:t>
      </w:r>
    </w:p>
    <w:p>
      <w:r>
        <w:rPr>
          <w:b/>
        </w:rPr>
        <w:t>E. 6</w:t>
      </w:r>
    </w:p>
    <w:p>
      <w:r>
        <w:t>En l'espèce, même si le DT a manifestement indiqué à tort, dans la décision attaquée, que la recourante n’avait pas fait usage de la possibilité de formuler des observations et n’a pas non plus mentionné formellement les éléments factuels contenus dans la prise de position de la recourante du 30 juin 2021, il n’en demeure pas moins que cette écriture a été reçue par le DT, dont elle porte le tampon de réception en date du 1er juillet 2021, soit avant le prononcé de la décision attaquée. De même, l’autorité intimée a elle-même confirmé la bonne réception de ces observations, en expliquant que la mention précitée dans la décision attaquée était due à une erreur de plume. Pour le surplus, la recourante s’est prévalue, dans le cadre du recours faisant l’objet de la présente procédure, des mêmes arguments que ceux avancés dans son courrier du 30 juin 2021 prétendument ignoré. Ainsi, cette dernière a, quoi qu’il en soit, eu l’occasion de faire valoir ses arguments dans le cadre de son recours. L’autorité intimée s’est ensuite déterminée sur ce recours et la recourante a par la suite eu l’occasion de répliquer. Partant, dans ces circonstances, même à supposer qu'un défaut de motivation puisse être imputé au DT, il a de toute façon pu être réparé devant le tribunal et le renvoi de la cause à l’autorité intimée constituerait une vaine formalité (cf. à ce sujet ATF 142 II 218 consid. 2.8.1 ; 141 IV 155 consid. 5.2.2 ; 137 I 195 consid. 2.3.2 ; 135 I 279 consid. 2.6.1 ; arrêts du Tribunal fédéral 1C_415/2019 du 27 mars 2020 consid. 2.1 ; 2C_74/2019 du 13 mai 2019 consid.</w:t>
      </w:r>
    </w:p>
    <w:p>
      <w:r>
        <w:rPr>
          <w:b/>
        </w:rPr>
        <w:t>E. 7</w:t>
      </w:r>
    </w:p>
    <w:p>
      <w:r>
        <w:t>La recourante a sollicité la comparution personnelle des parties, par le biais de MM. K______ et I______, ainsi que l’audition de M. J______ en qualité de témoin.</w:t>
      </w:r>
    </w:p>
    <w:p>
      <w:r>
        <w:rPr>
          <w:b/>
        </w:rPr>
        <w:t>E. 8</w:t>
      </w:r>
    </w:p>
    <w:p>
      <w:r>
        <w:t>Le droit d'être entendu, tel que mentionné dans les considérants ci-dessus, comprend également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w:t>
      </w:r>
    </w:p>
    <w:p>
      <w:r>
        <w:t>- 11/22 - A/3095/2021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9</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des parties ni à l’audition de M. J______. En tout état, la recourante a eu la possibilité de faire valoir ses arguments, dans le cadre de son recours puis de sa réplique, et de produire tout moyen de preuve utile en annexe de ces écritures, sans qu'elle n'explique quels éléments la procédure écrite l’aurait empêché d'exprimer de manière pertinente et complète. Par conséquent, la demande d'instruction tendant à la comparution personnelle des parties et à l’audition d’un témoin, en soi non obligatoire, sera rejetée.</w:t>
      </w:r>
    </w:p>
    <w:p>
      <w:r>
        <w:rPr>
          <w:b/>
        </w:rPr>
        <w:t>E. 10</w:t>
      </w:r>
    </w:p>
    <w:p>
      <w:r>
        <w:t>La recourante conteste l'amende prononcée par le département le 4 août 2021, au motif qu'elle n'aurait commis aucune faute.</w:t>
      </w:r>
    </w:p>
    <w:p>
      <w:r>
        <w:rPr>
          <w:b/>
        </w:rPr>
        <w:t>E. 11</w:t>
      </w:r>
    </w:p>
    <w:p>
      <w:r>
        <w:t>Le Conseil d'Etat fixe par règlements les dispositions relatives à la sécurité et à la prévention des accidents sur les chantiers (art. 151 let. d LCI). Sur cette base, il a adopté le RChant.</w:t>
      </w:r>
    </w:p>
    <w:p>
      <w:r>
        <w:rPr>
          <w:b/>
        </w:rPr>
        <w:t>E. 12</w:t>
      </w:r>
    </w:p>
    <w:p>
      <w:r>
        <w:t>La prévention des accidents sur les chantiers et les mesures à prendre pour assurer la sécurité des travailleurs, du public, des ouvrages et de leurs abords sont réglées par les dispositions du RChant (art. 1 al. 1 RChant). En tant qu'elles ne sont pas déjà incorporées dans son texte, les ordonnances du Conseil fédéral sur la prévention des accidents, au nombre desquelles figure notamment l'OTConst (cf. art. 1 OTConst), en font partie intégrante (art. 2 al. 1 RChant).</w:t>
      </w:r>
    </w:p>
    <w:p>
      <w:r>
        <w:rPr>
          <w:b/>
        </w:rPr>
        <w:t>E. 13</w:t>
      </w:r>
    </w:p>
    <w:p>
      <w:r>
        <w:t>Tous les participants à l'acte de construire, démolir, transformer, entretenir, c'est- à-dire toutes les personnes exécutant des travaux se rapportant à l'activité du bâtiment ou du génie civil, ainsi que les personnes physiques ou morales</w:t>
      </w:r>
    </w:p>
    <w:p>
      <w:r>
        <w:t>- 12/22 - A/3095/2021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 Au même titre que, par exemple, la LCI dont il tire sa base légale, le RChant s'applique en tant que réglementation d'intérêt public sur tout le territoire cantonal, sur domaine public aussi bien que privé. Son art. 1 al. 2 mentionné ci-dessus indique clairement qu'il concerne toute personne impliquée dans l'acte de construire, c'est-à-dire notamment toutes les personnes physiques exécutant des travaux se rapportant à l'activité du bâtiment.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elles-mêmes ou à autrui. Pour les mêmes raisons, ce règlement ne s'applique pas uniquement dans les zones vouées à la construction, mais dans toute zone, dès lors que s'y déroule une activité de construction au sens de la LCI. Le tribunal de céans a ainsi jugé que le RChant et les obligations en découlant s’appliquaient à une société de déménagement qui avait participé au transport de matériaux nécessaires à la rénovation d’un appartement (JTAPI/375/2016 du 13 avril 2016) et à un viticulteur qui exécutait un terrassement à l'aide d'une chargeuse sur chenilles sur sa propre parcelle, en zone agricole (JTAPI/109/2013 du 11 janvier 2013).</w:t>
      </w:r>
    </w:p>
    <w:p>
      <w:r>
        <w:rPr>
          <w:b/>
        </w:rPr>
        <w:t>E. 14</w:t>
      </w:r>
    </w:p>
    <w:p>
      <w:r>
        <w:t>En l'espèce, toutes les personnes œuvrant sur le chantier visé par la sanction litigieuse ainsi que les personnes physiques ou morales employant des travailleurs à cet effet, soit notamment la recourante, tombent sous le coup du RChant et sont dès lors tenues de s'y conformer (art. 1 al. 2 RChant). A ce titre, il appartenait à la recourante de s'assurer que les prescriptions légales en matière de sécurité étaient respectées.</w:t>
      </w:r>
    </w:p>
    <w:p>
      <w:r>
        <w:t>Par conséquent, aussi bien pour ce qui concerne les travaux en cause que pour la responsabilité qu'encourt la recourante en tant qu'employeuse des ouvriers présents lors de ces travaux, le RChant est applicable et peut donc entraîner une sanction.</w:t>
      </w:r>
    </w:p>
    <w:p>
      <w:r>
        <w:rPr>
          <w:b/>
        </w:rPr>
        <w:t>E. 15</w:t>
      </w:r>
    </w:p>
    <w:p>
      <w:r>
        <w:t>La recourante allègue que l'amende administrative serait injustifiée sur le fond.</w:t>
      </w:r>
    </w:p>
    <w:p>
      <w:r>
        <w:rPr>
          <w:b/>
        </w:rPr>
        <w:t>E. 16</w:t>
      </w:r>
    </w:p>
    <w:p>
      <w:r>
        <w:t>Le travail doit s'exécuter en prenant, en plus des mesures ordonnées par le règlement, toutes les précautions commandées par les circonstances et par les usages de la profession (art. 3 al. 1 RChant).</w:t>
      </w:r>
    </w:p>
    <w:p>
      <w:r>
        <w:t>- 13/22 - A/3095/2021</w:t>
      </w:r>
    </w:p>
    <w:p>
      <w:r>
        <w:rPr>
          <w:b/>
        </w:rPr>
        <w:t>E. 17</w:t>
      </w:r>
    </w:p>
    <w:p>
      <w:r>
        <w:t>De façon générale, sur un chantier, les installations et autres aménagements doivent être étudiés de manière à permettre l'application de toutes les mesures de sécurité et de protection de la santé (art. 7 al. 1 RChant).</w:t>
      </w:r>
    </w:p>
    <w:p>
      <w:r>
        <w:rPr>
          <w:b/>
        </w:rPr>
        <w:t>E. 18</w:t>
      </w:r>
    </w:p>
    <w:p>
      <w:r>
        <w:t>Selon l'art. 2 al. 2 RChant, en tant qu'elles ne sont pas déjà incorporées dans son texte, les ordonnances du Conseil fédéral sur la prévention des accidents font partie intégrante du présent règlement dans le domaine de la prévention des accidents.</w:t>
      </w:r>
    </w:p>
    <w:p>
      <w:r>
        <w:rPr>
          <w:b/>
        </w:rPr>
        <w:t>E. 19</w:t>
      </w:r>
    </w:p>
    <w:p>
      <w:r>
        <w:t>À teneur de l'art. 8 al. 1 OTConst, les postes de travail doivent offrir toute la sécurité voulue et pouvoir être atteints par des passages sûrs. Aux fins d'assurer la sécurité des portes de travail et des passages, il faut en particulier que des protections contre les chutes au sens des art. 15 à 19 OTConst soient installées (al. 2 let. a).</w:t>
      </w:r>
    </w:p>
    <w:p>
      <w:r>
        <w:rPr>
          <w:b/>
        </w:rPr>
        <w:t>E. 20</w:t>
      </w:r>
    </w:p>
    <w:p>
      <w:r>
        <w:t>Selon l'art. 92 RChant, des échafaudages, conformes aux prescriptions de l'ordonnance sur les travaux de constructions, sont prescrits pour tout travail de construction de bâtiments exécuté à une hauteur de chute supérieur à 3 m. Le garde-corps supérieur de l'échafaudage doit, pendant toute la durée des travaux de construction, dépasser de 1 m au moins le bord de la zone la plus élevée présentant un risque de chutes. Cette prescription figure également à l'art. 18 OTConst qui précise que dans les travaux de construction de bâtiments, un échafaudage de façade doit être installé dès que la hauteur de chute dépasse 3 m. Le garde-corps supérieur de l’échafaudage doit, pendant toute la durée des travaux de construction, dépasser de 80 cm au moins le bord de la zone la plus élevée présentant un risque de chutes.</w:t>
      </w:r>
    </w:p>
    <w:p>
      <w:r>
        <w:rPr>
          <w:b/>
        </w:rPr>
        <w:t>E. 21</w:t>
      </w:r>
    </w:p>
    <w:p>
      <w:r>
        <w:t>L'art. 99 RChant dispose que tout poste de travail doit être muni de garde-corps réglementaires sur toutes les faces exposées au vide dès qu'il atteint 2 m de hauteur (al. 1), ces garde-corps devant rester en place jusqu'à l'achèvement de tous les travaux (al. 2). Conformément à l’art. 31 al. 1 RChant, on entend par garde-corps réglementaire une protection composée de : a) une filière supérieure à 1 m de hauteur; b) une plinthe; c) une filière intermédiaire à mi-hauteur. Les deux filières et la plinthe doivent avoir au moins 15 cm de largeur et 26 mm d’épaisseur. Les filières peuvent être remplacées par des perches de 8 cm de diamètre au moins ou par des tubes d’acier de résistance équivalente (al. 2).</w:t>
      </w:r>
    </w:p>
    <w:p>
      <w:r>
        <w:rPr>
          <w:b/>
        </w:rPr>
        <w:t>E. 22</w:t>
      </w:r>
    </w:p>
    <w:p>
      <w:r>
        <w:t>Cette prescription figure également à l'art. 15 al. 1 OTConst et est précisée par l'art. 16 OTConst.</w:t>
      </w:r>
    </w:p>
    <w:p>
      <w:r>
        <w:t>- 14/22 - A/3095/2021</w:t>
      </w:r>
    </w:p>
    <w:p>
      <w:r>
        <w:rPr>
          <w:b/>
        </w:rPr>
        <w:t>E. 23</w:t>
      </w:r>
    </w:p>
    <w:p>
      <w:r>
        <w:t>Tout échafaudage ou installation de protection utilisé par une entreprise autre que celle qui l’a construit ne doit recevoir aucune modification et doit être régulièrement contrôlé par le constructeur (art. 98 al. 1 RChant). Les modifications nécessaires ne peuvent être entreprises qu’avec l’accord et sous le contrôle du constructeur (al. 2). L’échafaudage doit être contrôlé visuellement chaque jour par son utilisateur. S’il présente des défauts, il ne doit pas être utilisé (al. 3).</w:t>
      </w:r>
    </w:p>
    <w:p>
      <w:r>
        <w:rPr>
          <w:b/>
        </w:rPr>
        <w:t>E. 24</w:t>
      </w:r>
    </w:p>
    <w:p>
      <w:r>
        <w:t>La directive, édictée par l’inspection des chantiers à l’attention des collaborateurs, mandataires et entreprises, entrée en vigueur le 17 octobre 2017 et modifiée le 19 mars 2019, destinée à un usage externe au service, a notamment pour but de préciser « les conditions minimales de sécurité dans lesquelles doivent travailler les coffreurs/opérateurs effectuant des travaux de coffrage de dalle selon la méthode dite traditionnelle, à une hauteur située entre 2 m et 3 m mesurée depuis le niveau du coffrage de la dalle en cours », étant précisé que « seule l’activité propre de mise en place des panneaux de coffrage de la dalle et les travaux y relatifs [étaient] concernés ». Selon la rubrique « Conditions de sécurité minimales devant impérativement être respectées », compte tenu de la pratique et du principe de la proportionnalité, l’entreprise pourra travailler sans protections collectives ou individuelles en bord de dalle pour les cas précités, aux conditions suivantes notamment : 1) seuls les opérateurs occupés au coffrage de dalle doivent être présents sur la structure ; 8) en l’absence d’échafaudage, les bords de dalle situés latéralement, présentant un risque de chute supérieur à 2 m, doivent être protégés à l’avancement du coffrage par des garde-corps réglementaires. Si les directives, circulaires ou instructions émises par l'administration ne peuvent contenir de règles de droit, elles sont susceptibles cependant d'apporter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w:t>
      </w:r>
    </w:p>
    <w:p>
      <w:r>
        <w:t>- 15/22 - A/3095/2021 applicables mutatis mutandis en droit cantonal (ATA/51/2006 du 31 janvier 2006 consid. 9b).</w:t>
      </w:r>
    </w:p>
    <w:p>
      <w:r>
        <w:rPr>
          <w:b/>
        </w:rPr>
        <w:t>E. 25</w:t>
      </w:r>
    </w:p>
    <w:p>
      <w:r>
        <w:t>En l’espèce, il ressort des photographies jointes au rapport d’enquête, notamment des photographies nos 1, 2, 5 et 6, qu’un vide est présent depuis le haut de la dalle du 1er étage jusqu’au sol et qu’un vide sépare le haut de la dalle du fond du sous- sol, les hauteurs de respectivement 3 et 6 mètres n'étant pas contestées par la recourante. Par conséquent, conformément aux art. 92 et 99 RChant et 16 et 18 OTConst précités, des mesures de protection, sous forme de garde-corps réglementaires, auraient dû être installées en bordure de dalle. Or, à teneur des constations de l’inspecteur du DT lors du contrôle effectué sur place le 15 juin 2021, lesquelles sont corroborées par les photographies précitées et ne sont d'ailleurs, en soi, pas contestées par la recourante, aucune protection au sens des dispositions légales et réglementaires applicables ne se trouvaient sur les bordures de la dalle concernée. Il sera relevé à ce titre, comme l'a souligné l'autorité intimée, que les fers à béton apparaissant sur la dalle du rez selon la photographie n° 1 jointe au constat ne sauraient être considérés comme des protections adéquates au sens du RChant et de l’OTConst, ce que la recourante ne prétend d’ailleurs pas. Partant, force est de constater que les dispositions précitées ont effectivement été violées. Pour le surplus, conformément à la directive mentionnée plus haut, les protections nécessaires auraient dû être mises en place au fur et à mesure de l’avancement du coffrage au moyen de garde-corps. S’agissant de la responsabilité de la recourante quant à ces infractions, les ouvriers de cette dernière, dont le comportement est imputable à celle-ci en tant que personne morale les employant en vue de travaux de maçonnerie, ont réalisé ce coffrage, ce qui n’est pas contesté. Par conséquent, en application du RChant et de l’OTConst, les employés de la recourante étaient responsables de la pose des protections requises sur cette dalle. À ce titre, il convient de relever que la jurisprudence du tribunal citée par la recourante dans le cadre de sa réplique pour en déduire qu’elle ne saurait être tenue responsable du non-respect des mesures de sécurité par d’autres ouvriers, se contente de retenir que, dans le cas concerné, tant l’entreprise recourante que la société assumant la direction des travaux s’étaient vues infliger une amende, de sorte que l’argument de la société concernée selon lequel elle n’était pas la seule responsable des infractions constatées, tombait à faux, sans que la pertinence sur le fond n’en soit examinée. Par conséquent, cette jurisprudence n’est in casu d’aucun secours à la recourante. L’explication de la recourante selon laquelle ses ouvriers n’avaient aucune raison de se rendre sur le coffrage avant sa finition et ne s’y trouvaient d’ailleurs pas lors du contrôle précité, de sorte que la pose de protections n’était pas nécessaire à ce stade pour la sécurité de ces derniers, ne permet pas de parvenir à une autre conclusion. En effet, il est patent que les ouvriers de la recourante ont évolué sur</w:t>
      </w:r>
    </w:p>
    <w:p>
      <w:r>
        <w:t>- 16/22 - A/3095/2021 la dalle du 1er étage lorsqu’ils ont réalisé le coffrage, de sorte qu’ils ont, à ce moment déjà, couru le risque, en l’absence de protections, d’une chute depuis une hauteur importante, comme vu ci-dessus. Pour le surplus, il ressort des photographies 1 et 2 annexées au constat d’infraction que du matériel destiné à la poursuite des travaux sur la dalle du 1er étage y avait été entreposé, ce qui montre bien que des ouvriers de la recourante y ont circulé alors qu'aucune protection n'était en place pour parer à un risque de chute. Par conséquent, contrairement aux allégations de la recourante, l’absence de protection sur la dalle sur rez a abouti à une mise en danger des employés de cette dernière. Quant à l’affirmation selon laquelle la recourante n’était pas responsable de la mise en danger des employés d’une société tierce montés sur ledit coffrage alors que celui-ci n’était pas terminé et nonobstant le fait qu’ils en avaient été prévenus, il sera rappelé que la recourante, en tant que constructrice de l’ouvrage défaillant en matière de sécurité, était responsable, conformément au RChant et à la directive précitée - qui trouvait application dans le présent cas dans le cadre de la mise en place des panneaux de coffrage -, de s’assurer de la conformité dudit ouvrage. En effet, il ne pouvait être exclu, dans le cadre d’un chantier sur lequel évoluent divers intervenants, que d’autres corps de métier se rendent sur le coffrage, ce qui n’a pas manqué de se produire. Par conséquent, il était nécessaire, pour la sécurité collective de l’ensemble des intervenants du chantier, de sécuriser l’ouvrage réalisé par la recourante, étant rappelé que, conformément au raisonnement exposé ci-dessus, cette tâche lui incombait. Enfin, il ressort des explications de l’inspecteur du DT, dont rien ne permet de douter et qui ne sont pas contestées par la recourante en tant que telles, que le représentant de la recourante présent sur place lors du contrôle n’avait nullement demandé aux ouvriers alors présents sur le coffrage d’en descendre pour des raisons de sécurité, ce qui tend à démontrer que l’absence de protection n’était pas due au fait, comme elle l’explique, qu’elle partait du principe que personne ne monterait sur cette dalle, mais davantage au fait qu’elle estimait que la situation n’était pas problématique sur le plan sécuritaire. À ce titre, il n’est pas décisif, s’agissant de la responsabilité de la recourante quant aux infractions constatées le 15 juin 2021, que cette dernière ait par la suite pris des mesures en vue de pallier aux problèmes de sécurité sur le chantier, telles que la mise en place des protections requises, l’intervention auprès de la direction des travaux afin de rappeler aux différents intervenants qu’il était interdit de monter sur le coffrage avant son achèvement et de modifier des installations érigées pour des raisons sécuritaires, dès lors que ces mesures sont intervenues après la visite de l’inspecteur du DT. En conclusion, c’est à juste titre que l’autorité intimée a retenu l’absence de protections réglementaires sur la dalle du 1er étage, laquelle faisait courir à l’ensemble des intervenants du chantier un risque de chute de grande hauteur. Pour le surplus, il ressort des photographies jointes au constat d’infractions, notamment des photographies nos 1, 2 et 6, que la protection installée sur le pourtour du rez-de-chaussée du bâtiment était incomplète, en raison notamment de</w:t>
      </w:r>
    </w:p>
    <w:p>
      <w:r>
        <w:t>- 17/22 - A/3095/2021 lattes manquantes, ce que la recourante ne conteste d’ailleurs pas. Par conséquent, force est de constater que cette infraction a été retenue à juste titre par le DT. La recourante prétend toutefois que cette situation serait due aux agissement des ouvriers d’une société tierce, en vue de procéder au remblayage des fouilles. Le tribunal constate qu’aucun élément ne vient étayer cette explication, laquelle n'indique d'ailleurs pas en quoi le remblayage des fouilles aurait nécessité l'enlèvement des lattes inférieures tout en laissant subsister les lattes supérieures. En outre, lors du constat sur place, les lattes manquantes n’étaient nullement en train d’être remises en place par les employés de la recourante, alors même que leur absence était évidente. Ainsi, si, comme le prétend la recourante, lesdites lattes avaient été enlevées à son insu, elle n’aurait pas manqué d’ordonner à ses ouvriers de procéder à leur remise en place dès la constatation de leur disparition, de sorte que son argument selon lequel celles-ci auraient été enlevées sans qu’elle n’en ait connaissance n’emporte pas conviction, ce d’autant qu’une fois encore, la recourante n’a rétabli une situation conforme au droit qu’à la suite du contrôle. En tout état, même si la suppression des lattes était due aux faits de tiers, comme indiqué plus haut, la recourante, dont les employés avaient érigé la dalle du rez- de-chaussée, était responsable de la sécurisation de cet ouvrage, non seulement s’agissant de ses propres ouvriers mais également quant aux autres intervenants du chantier. La recourante faisait également l’objet d’un devoir de contrôle régulier de l’ouvrage, en sa qualité de constructrice, conformément à l’art. 98 RChant. Le raisonnement exposé ci-dessus s’agissant des diverses mesures prises – ultérieurement au contrôle – par la recourante trouve application ici également, de sorte qu’il ne peut être retenu que la recourante a rempli ses « obligations de contrôle ». En conclusion, l’absence de protections réglementaires au rez-de- chaussée exposait effectivement l’ensemble des intervenants du chantier, tant œuvrant pour le compte de la recourante que pour celui d’autres entreprises, à un risque de chute de grande hauteur. S’agissant enfin de l’absence de protection des hauts de talus du chantier, laquelle ressort effectivement des photographies jointes au constat d’infractions, notamment de la photographie n° 3, sans, pour le surplus, être contestée par les parties, la recourante explique ne pas être en charge des travaux de terrassement, tout en précisant que ses ouvriers, dont la tâche se cantonne au bâtiment en construction, n’évoluaient pas aux abords desdits talus, de sorte que la sécurisation de ceux-ci n’était pas de sa responsabilité. Le DT relève quant à lui, dans ses observations, que les protections en bordure de talus n’entrent pas forcément « dans le lot de l’entreprise de maçonnerie », tout en considérant cependant qu’il incombait à cette dernière, en tant qu’« intervenante présente sur place », de s’assurer de la bonne tenue des protections mises en place et de réagir immédiatement au constat d’éventuelles dégradations ». L’argument du DT selon lequel la recourante avait, suite à la visite de l’inspecteur, fermé l’accès au talus au moyen de protections menant à la construction en cours, ne démontre nullement que cette dernière était responsable de la sécurisation de ces abords. Il</w:t>
      </w:r>
    </w:p>
    <w:p>
      <w:r>
        <w:t>- 18/22 - A/3095/2021 apparaît qu’elle a davantage agi dans le but de remédier aux manquements relevés par l’inspecteur lors de sa visite du chantier. Il en va de même de l’argument de l’autorité intimée selon lequel la recourante était à même d’être plus réactive que l’entreprise de terrassement, qui n’était souvent plus sur place à ce stade de l’avancement des travaux, et que la direction des travaux. En effet, le raisonnement suivi in casu par le DT, consistant à retenir la responsabilité de l’entreprise intervenant sur le chantier lors du contrôle, en raison de sa possible réactivité par rapport à d’autres intervenants et à la direction des travaux, alors même qu’elle n’est pas la constructrice de l’ouvrage concerné et n’est pas amenée à évoluer aux abords de cet ouvrage, fait fi de la notion de faute applicable en matière de sanction administrative, dont il sera question plus bas. En effet, la position défendue par l'autorité intimée pourrait conduire à reprocher à la seule entreprise dont les représentants seraient présents lors du contrôle l’ensemble des infractions relevées lors de celui-ci. De plus, comme relevé à juste titre par la recourante, cette dernière n’est pas une entreprise générale et n’assume pas la direction des travaux, de sorte qu’il ne lui appartient pas de supporter l’entièreté des mesures relatives à la sécurité du chantier, a fortiori s’agissant des ouvrages dont elle n’est pas la constructrice et sur lesquels son cahier des charges ne lui commande pas d’intervenir. Par conséquent, le tribunal parvient à la conclusion que la recourante ne saurait valablement se voir reprocher l’absence de protection sur les hauts des talus du chantier. En conclusion, eu égard à ce qui précède, aucune infraction ne peut être reprochée à la recourante s’agissant de l’absence de protection sur les hauts des talus du chantier. Toutefois, elle a violé diverses règles de sécurité prévues notamment dans le RChant, dont le but est de préserver la santé de ses ouvriers. Elle a également mis en danger la sécurité des autres intervenants du chantier en ne sécurisant pas, respectivement pas suffisamment, la zone de ce chantier, s’agissant des mesures de protections nécessaires en lien avec les vides de plus de 3 m, voire 6 m.</w:t>
      </w:r>
    </w:p>
    <w:p>
      <w:r>
        <w:rPr>
          <w:b/>
        </w:rPr>
        <w:t>E. 26</w:t>
      </w:r>
    </w:p>
    <w:p>
      <w:r>
        <w:t>Selon l'art. 333 RChant, tout contrevenant aux dispositions du RChant est passible des peines prévues par la LCI (voir aussi ATA/611/2004 du 5 août 2004, consid. 12 ; ATA/640/1999 du 2 novembre 1999, consid. 4a). Est passible d'une amende administrative de CHF 100.- à CHF 150'000.- tout contrevenant aux règlements et arrêtés édictés conformément à l'art. 151 LCI, respectivement aux ordres donnés par le département dans les limites de la présente loi et des règlements et arrêtés édictés en vertu de celle-ci (art. 137 al. 1 let. b et c LCI et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Si l’infraction a été commise dans la gestion d’une personne morale, d’une société en</w:t>
      </w:r>
    </w:p>
    <w:p>
      <w:r>
        <w:t>- 19/22 - A/3095/2021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27</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en effet lieu de faire application des dispositions générales (art. 1 à 110) du code pénal suisse du 21 décembre 1937 (CP - RS 311.0). Selon la doctrine, une amende ne peut être ordonnée que contre les responsables par comportement, non contre les responsables par situation. En effet, l'amendé doit avoir commis une faute (Emmanuelle GAIDE et Valérie DEFAGO GAUDIN, La LDTR : démolition, transformation, changement d'affectation et aliénation. Immeubles de logement et appartements, 2014, p. 477). La jurisprudence constante rappelle que,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Cst. ; ATA/206/2020 précité, consid. 4c ; ATA/13/2020 précité, consid. 7c et les références citées).</w:t>
      </w:r>
    </w:p>
    <w:p>
      <w:r>
        <w:rPr>
          <w:b/>
        </w:rPr>
        <w:t>E. 28</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ATA/206/2020 précité, consid. 4c ; ATA/13/2020 précité, consid. 7c et les références citées).</w:t>
      </w:r>
    </w:p>
    <w:p>
      <w:r>
        <w:rPr>
          <w:b/>
        </w:rPr>
        <w:t>E. 29</w:t>
      </w:r>
    </w:p>
    <w:p>
      <w:r>
        <w:t>En l'espèce, il ressort des développements qui précèdent que la recourante, à laquelle le comportement illicite de ses auxiliaires est pénalement imputable lorsque cela découle d'un manque d'instruction et de surveillance (arrêt du</w:t>
      </w:r>
    </w:p>
    <w:p>
      <w:r>
        <w:t>- 20/22 - A/3095/2021 Tribunal fédéral 6S.311/2005 du 26 octobre 2005), a commis plusieurs infractions au RChant, notamment en lien avec la sécurité de ses ouvriers et de celle des autres intervenants du chantier s’agissant de deux des trois manquements retenus dans la décision litigieuse.</w:t>
      </w:r>
    </w:p>
    <w:p>
      <w:r>
        <w:t>L'amende est donc fondée dans son principe.</w:t>
      </w:r>
    </w:p>
    <w:p>
      <w:r>
        <w:rPr>
          <w:b/>
        </w:rPr>
        <w:t>E. 30</w:t>
      </w:r>
    </w:p>
    <w:p>
      <w:r>
        <w:t>Reste à déterminer si la quotité de l'amende respecte le principe de proportionnalité.</w:t>
      </w:r>
    </w:p>
    <w:p>
      <w:r>
        <w:rPr>
          <w:b/>
        </w:rPr>
        <w:t>E. 31</w:t>
      </w:r>
    </w:p>
    <w:p>
      <w:r>
        <w:t>L’amende doit respecter le principe de la proportionnalité garanti par l'art. 5 al. 2 Cst. (ATA/440/2019 du 16 avril 2019 ; ATA/824/2015 du 11 août 2015 ; ATA/886/2014 du 11 novembre 2014 ; ATA/147/2014 du 11 mars 2014), lequel, notamment, exige un rapport raisonnable entre le but visé par la mesure et les intérêts publics ou privés compromis (ATF 126 I 219 consid. 2c et les références citées). L’amende doit faire l’objet d’une évaluation globale, dans laquelle l’autorité administrative qui sanctionne - partant le juge qui contrôle sa décision - doit prendre en compte, dans un calcul d’ensemble, la nature, la gravité et la fréquence des infractions (ATA/978/2015 du 22 septembre 2015 ; ATA/886/2014 du 11 novembre 2014 ; ATA/558/2013 du 27 août 2013), ainsi que les éléments liés à la culpabilité et les circonstances personnelles de l’auteur, dont ses capacités financières (ATA/719/2012 du 30 octobre 2012 ; Günter STRATENWERTH, Schweizerisches Strafrecht - Allgemeiner Teil II : Strafen und Massnahmen, 2ème éd., 2006, p. 75 § 75 ; Sandro CHIMICHELLA, Die Geldstrafe in Schweizer Strafrecht, 2006, p. 39). À titre d’exemple, la chambre administrative a confirmé une amende de CHF 5'000.- infligée à deux mandataires professionnellement qualifiés (ci-après : MPQ) pour des travaux effectués en hauteur par des ouvriers avec des garde-corps manquants, en mauvais état ou incomplets et un risque de chute supérieur à 2 m, ainsi que pour avoir terminé le chantier dans l’irrespect de l’ordre d’arrêt de chantier (ATA/440/2019 du 16 avril 2019). Elle a également confirmé une amende de CHF 6'000.- envers un MPQ présentant déjà cinq antécédents qui avait laissé travailler des ouvriers sur un échafaudage non conforme, présentant un vide supérieur à 30 cm et une hauteur de chute supérieure à 2 m (ATA/559/2021 du 25 mai 2021). Elle a de même confirmé une amende de CHF 10'000.- infligée à une entreprise qui avait débuté les travaux avant l'heure autorisée (ATA/508/2020 du 26 mai 2020).</w:t>
      </w:r>
    </w:p>
    <w:p>
      <w:r>
        <w:rPr>
          <w:b/>
        </w:rPr>
        <w:t>E. 32</w:t>
      </w:r>
    </w:p>
    <w:p>
      <w:r>
        <w:t>En l'espèce, les manquements qui peuvent être reprochés à la recourante se rapportent à des règles essentielles visant à assurer la sécurité d'un chantier aux fins de prévenir des risques d'accidents potentiellement très graves pour les ouvriers y travaillant, ce qui justifie le prononcé d'une amende élevée. Comme</w:t>
      </w:r>
    </w:p>
    <w:p>
      <w:r>
        <w:t>- 21/22 - A/3095/2021 relevé par le DT, les infractions en lien avec l’absence de garde-corps en bordure de la dalle du 1er étage, ainsi que l’absence de conformité des protections érigées sur le pourtour du bâtiment au rez-de-chaussée, représentent la partie la plus importante des manquements reprochés, Pour le surplus, il ressort de la décision rendue par le DT à l’encontre de la recourante dans le cadre de la procédure d’infraction I – 6______, qu'elle a déjà été récemment condamnée, en février 2020, en raison de violations diverses du RChant. Cette décision mentionne étalement une autre procédure – datant de 2018– ouverte sous le n° I – 8______ à l’encontre de la recourante toujours. Par conséquent, il convient de retenir le caractère récidiviste du comportement tendant à violer les dispositions applicables, même si la volonté de la recourante d’améliorer la situation doit être saluée. Il n’en demeure pas moins que cette dernière, déjà condamnée à au moins une reprise en raison de violations du RChant, pouvait d’autant moins ignorer ses obligations sur la base de ce règlement. Le montant de CHF 5'000.- se situe dans la fourchette basse de l'échelle fixée à l'art. 137 al. 2 LCI. De plus, la recourante n'a pas allégué de difficultés financières particulières, hormis les difficultés générales subies par toutes les entreprises à cause de la crise sanitaire. Toutefois, il convient de relever que, conformément aux développements qui précèdent, la responsabilité de la recourante quant à l’un des trois manquements reprochés n’est pas retenue au terme du présent jugement. Par conséquent, il convient de réduire le montant de l’amende querellée en conséquence.</w:t>
      </w:r>
    </w:p>
    <w:p>
      <w:r>
        <w:t>Ainsi, aux vues des circonstances du cas d'espèce, notamment du fait que l’une des infractions initialement retenue n’est pas imputable à la recourante mais également du fait qu’il ne s’agit pas de la principale infraction qui lui est reprochée, il convient de réduire l’amende infligée à CHF 4'000.-.</w:t>
      </w:r>
    </w:p>
    <w:p>
      <w:r>
        <w:rPr>
          <w:b/>
        </w:rPr>
        <w:t>E. 33</w:t>
      </w:r>
    </w:p>
    <w:p>
      <w:r>
        <w:t>En conclusion, le recours sera partiellement admis et la décision attaquée annulée.</w:t>
      </w:r>
    </w:p>
    <w:p>
      <w:r>
        <w:rPr>
          <w:b/>
        </w:rPr>
        <w:t>E. 34</w:t>
      </w:r>
    </w:p>
    <w:p>
      <w:r>
        <w:t>En application des art. 87 al. 1 LPA et 1 et 2 du règlement sur les frais, émoluments et indemnités en procédure administrative du 30 juillet 1986 (RFPA - E 5 10.03), la recourante, qui obtient très partiellement gain de cause, est condamnée au paiement d'un émolument réduit s'élevant à CHF 700.- ; il est couvert par l'avance de frais de CHF 900.- versée à la suite du dépôt du recours. Vu l'issue du litige, une indemnité de procédure réduite de CHF 500.- lui sera allouée, à la charge du département, soit pour lui l'Etat de Genève (art. 87 al. 2 LPA).</w:t>
      </w:r>
    </w:p>
    <w:p>
      <w:r>
        <w:rPr>
          <w:b/>
        </w:rPr>
        <w:t>E. 35</w:t>
      </w:r>
    </w:p>
    <w:p>
      <w:r>
        <w:t>Le solde de l'avance de frais de CHF 200.- sera restitué à la recourante.</w:t>
      </w:r>
    </w:p>
    <w:p>
      <w:r>
        <w:t>- 22/22 - A/3095/2021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