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JTAPI/175/2024 vom 29. Februar 2024</w:t>
      </w:r>
    </w:p>
    <w:p>
      <w:r>
        <w:t>GE Cour de justice, 2024-02-29, FR</w:t>
      </w:r>
    </w:p>
    <w:p>
      <w:r>
        <w:rPr>
          <w:b/>
        </w:rPr>
        <w:t xml:space="preserve">Quelle: </w:t>
      </w:r>
      <w:r>
        <w:t>https://mcp.opencaselaw.ch/entscheid/ge_gerichte_JTAPI_175_2024</w:t>
      </w:r>
    </w:p>
    <w:p>
      <w:r>
        <w:t>FR: GE_GERICHTE JTAPI/175/2024 du 29 février 2024</w:t>
      </w:r>
    </w:p>
    <w:p>
      <w:r>
        <w:t>IT: GE_GERICHTE JTAPI/175/2024 del 29 febbraio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28 février 2024 à 14h15.</w:t>
      </w:r>
    </w:p>
    <w:p>
      <w:r>
        <w:rPr>
          <w:b/>
        </w:rPr>
        <w:t>E. 3</w:t>
      </w:r>
    </w:p>
    <w:p>
      <w:r>
        <w:t>Le tribunal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L'art. 76 al. 1 let. b ch. 1, LEI, renvoyant à l'art 75 al. 1 let. h de cette même loi, dispose qu'une mesure de détention administrative peut être ordonnée si une décision de première instance de renvoi ou d'expulsion a été notifiée à l'intéressé et que celui-ci a été condamné pour crime (let. h), par quoi il faut entendre une</w:t>
      </w:r>
    </w:p>
    <w:p>
      <w:r>
        <w:t>- 6/10 - A/695/2024 infraction passible d'une peine privative de liberté de plus de trois ans (cf. art. 10 al. 2 CP ; ATA/220/2018 du 8 mars 2018 consid. 4a ; ATA/997/2016 du 23 novembre 2016 consid. 4a ; ATA/295/2011 du 12 mai 2011 consid. 4).</w:t>
      </w:r>
    </w:p>
    <w:p>
      <w:r>
        <w:rPr>
          <w:b/>
        </w:rPr>
        <w:t>E. 6</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7</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8</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9</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10</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Le principe de la proportionnalité, garanti par l'art. 36 Cst., se compose des règles d'aptitude - qui exige que le moyen choisi soit propre à atteindre le but fixé -, de</w:t>
      </w:r>
    </w:p>
    <w:p>
      <w:r>
        <w:t>- 7/10 - A/695/2024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12</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13</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14</w:t>
      </w:r>
    </w:p>
    <w:p>
      <w:r>
        <w:t>Selon l'art. 80 al. 4 LEI, l'autorité judiciaire qui examine la décision de détention de maintien ou de levée tient compte de la situation familiale de la personne détenue et des conditions d'exécution de la détention.</w:t>
      </w:r>
    </w:p>
    <w:p>
      <w:r>
        <w:rPr>
          <w:b/>
        </w:rPr>
        <w:t>E. 15</w:t>
      </w:r>
    </w:p>
    <w:p>
      <w:r>
        <w:t>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16</w:t>
      </w:r>
    </w:p>
    <w:p>
      <w:r>
        <w:t>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w:t>
      </w:r>
    </w:p>
    <w:p>
      <w:r>
        <w:t>- 8/10 - A/695/2024 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 ; ATA/381/2012 du 13 juin 2012 ; ATA/283/2012 du 8 mai 2012 ; ATA/257/2012 du 2 mai 2012).</w:t>
      </w:r>
    </w:p>
    <w:p>
      <w:r>
        <w:rPr>
          <w:b/>
        </w:rPr>
        <w:t>E. 17</w:t>
      </w:r>
    </w:p>
    <w:p>
      <w:r>
        <w:t>Selon l’art. 79 al. 1 LEI, la détention en vue du renvoi ne peut excéder six mois au total. Cette durée maximale peut,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Etats Schengen prend du retard (art. 79 al. 2 let. b LEI).</w:t>
      </w:r>
    </w:p>
    <w:p>
      <w:r>
        <w:rPr>
          <w:b/>
        </w:rPr>
        <w:t>E. 18</w:t>
      </w:r>
    </w:p>
    <w:p>
      <w:r>
        <w:t>La durée de la détention doit être proportionnée par rapport aux circonstances d’espèce (arrêts du Tribunal fédéral 2C_18/2016 du 2 février 2016 consid. 4.2 ; 2C_218/2013 du 26 mars 2013 consid. 2.3). En particulier, le principe de la proportionnalité interdit que la durée de la mesure soit insuffisante pour atteindre son objectif (ATF 2C_497/2017 du 5 mars 2018, consid. 4.2.2, in fine, et ATF 2C_431/2017 du 5 mars 2018, consid. 4.3.3, in fine, et ATA/787/2018 du 24 juillet 2018, consid. 6b et ATA/1044/2018 du 5 octobre 2018, consid. 6c).</w:t>
      </w:r>
    </w:p>
    <w:p>
      <w:r>
        <w:rPr>
          <w:b/>
        </w:rPr>
        <w:t>E. 19</w:t>
      </w:r>
    </w:p>
    <w:p>
      <w:r>
        <w:t>En l'espèce, M. A______ a fait l'objet d’une décision fédérale de renvoi du</w:t>
      </w:r>
    </w:p>
    <w:p>
      <w:r>
        <w:rPr>
          <w:b/>
        </w:rPr>
        <w:t>E. 23</w:t>
      </w:r>
    </w:p>
    <w:p>
      <w:r>
        <w:t>octobre 2008 prononcée par le SEM ainsi que d'une mesure d'expulsion de Suisse pour une durée de cinq ans prononcée le 17 janvier 2023 par la Chambre pénale d’appel et de révision. Il a en outre été condamné pour vol, en bande, vol par métier et recel, soit des crimes au sens de l'art. 10 al. 2 CP. Il a de plus fourni de fausses indications sur son identité, dans le but d’empêcher son renvoi et ne dispose pas ni d’un lieu de résidence fixe, ni d’attaches, ni de source légale de revenu sur le territoire genevois. Ses déclarations ont enfin varié s’agissant de son accord à être renvoyé en Algérie. Il existe ainsi des éléments concrets faisant craindre qu’il se soustraie à son renvoi et disparaisse dans la clandestinité s’il était laissé en liberté ou autorisé, comme il le souhaite, à demeurer chez sa compagne, dont on ne sait au demeurant même pas si elle serait disposée à l’accueillir. Les motifs de détention administrative prévus aux art. 76 al. 1 let. b ch. 1, en lien avec l’art. 75 al. 1 let. h, ch. 3 et 4 LEI sont ainsi remplis. Par ailleurs, l'assurance du départ effectif de M. A______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w:t>
      </w:r>
    </w:p>
    <w:p>
      <w:r>
        <w:t>- 9/10 - A/695/2024 Directive sur le retour - RO 2010 5925), étant rappelé que les autorités suisses doivent s'assurer du fait qu'elle quittera effectivement le territoire, désormais - et sans autre option possible en l'état - à destination de son pays d'origine (cf. not. art. 8 par. 6 de la Directive sur le retour et 15f de l'ordonnance sur l'exécution du renvoi et de l'expulsion d'étrangers du 11 août 1999 - OERE - RS 142.281). Rien au dossier ne permet pour le surplus de retenir que les autorités ne continuent pas d’agir avec diligence et célérité. Celles-ci ont débuté les démarches en vue du renvoi de M. A______ de Suisse lors de sa détention pénale déjà et la représentante du commissaire de police a expliqué, lors de l’audience, qu'ils avaient interpellé le Pr D______, désormais en charge de M. A______, afin qu’il communique à B______ les renseignements médicaux nécessaires en vue de l’établissement du certificat d’aptitude au vol et que, dès réception de ce dernier, ils pourraient concrètement confirmer la réservation du vol par l’émission d’un billet, étant précisé qu’il fallait tenir compte d’un délai de trois semaines entre l’obtention du certificat d’aptitude et la date du vol. Quant aux craintes exprimés par M. A______, par l’intermédiaire de son conseil, en lien avec ses problèmes de santé, il ne s'agit pas, à ce stade, d'un motif rendant sa détention disproportionnée ni l'exécution du renvoi manifestement inexigible étant rappelé que les possibilités de traitement et de prise en charge de M. A______ en Algérie ont été examinées et confirmées dans le cadre de l’examen de sa libération conditionnelle. Ce traitement et suivi peuvent par ailleurs parfaitement se poursuivre au sein de l’établissement de Favra. Les reproches formulés à cet égard ne reposent au demeurant que sur les déclarations de l’intéressé, retransmises par son conseil lors de l’audience, et ne sont corroborées par aucun élément du dossier. S’agissant enfin de la durée de la détention, elle respecte le cadre légal fixé par l'art. 79 LEI. La durée de trois mois requise apparait en outre proportionnée et adéquate au vu des explications fournies ce jour en audience par la représentante du commissaire de police quant aux démarches encore à entreprendre et le refus opposé par M. A______ à son renvoi. A cet égard, il sera rappelé à l’intéressé que s’il se décidait à collaborer, notamment en levant ses médecins traitants de leur secret médical, son renvoi pourrait être rapidement finalisé, ce qui mettrait immédiatement fin à sa détention administrative. 20. Au vu de ce qui précède, il y a lieu de confirmer l'ordre de mise en détention administrative de M. A______ pour une durée de trois mois. 21.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A/695/2024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