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JTAPI/174/2024 vom 29. Februar 2024</w:t>
      </w:r>
    </w:p>
    <w:p>
      <w:r>
        <w:t>GE Cour de justice, 2024-02-29, FR</w:t>
      </w:r>
    </w:p>
    <w:p>
      <w:r>
        <w:rPr>
          <w:b/>
        </w:rPr>
        <w:t xml:space="preserve">Quelle: </w:t>
      </w:r>
      <w:r>
        <w:t>https://mcp.opencaselaw.ch/entscheid/ge_gerichte_JTAPI_174_2024</w:t>
      </w:r>
    </w:p>
    <w:p>
      <w:r>
        <w:t>FR: GE_GERICHTE JTAPI/174/2024 du 29 février 2024</w:t>
      </w:r>
    </w:p>
    <w:p>
      <w:r>
        <w:t>IT: GE_GERICHTE JTAPI/174/2024 del 29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devant la juridiction compétente dans le délai fixé par la loi, le recours, qui contient la désignation de l’acte attaqué et les conclusions du recourant, est recevable de ce point de vue, en application des art.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w:t>
      </w:r>
    </w:p>
    <w:p>
      <w:r>
        <w:t>- 18/28 - A/2392/2023 La nullité absolue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w:t>
      </w:r>
    </w:p>
    <w:p>
      <w:r>
        <w:rPr>
          <w:b/>
        </w:rPr>
        <w:t>E. 2.2</w:t>
      </w:r>
    </w:p>
    <w:p>
      <w:r>
        <w:t>; 2C_573/2020 du 22 avril 2021 consid. 5 ; 2C_1031/2019 du 18 septembre 2020 consid. 2.1).</w:t>
      </w:r>
    </w:p>
    <w:p>
      <w:r>
        <w:rPr>
          <w:b/>
        </w:rPr>
        <w:t>E. 2.2.3</w:t>
      </w:r>
    </w:p>
    <w:p>
      <w:r>
        <w:t>; 133 II 249 consid. 1.3.2 ; arrêts du Tribunal fédéral 1C_378/2019 du 17 juin 2020 consid. 1.2 ; 1C_12/2019 du 11 novembre 2019 consid. 1.2 ; 1C_382/2017 du</w:t>
      </w:r>
    </w:p>
    <w:p>
      <w:r>
        <w:t>- 22/28 - A/2392/2023 16 mai 2018 consid. 1.2.1 ; 1C_27/2018 du 6 avril 2018 consid. 1.1 ; 1C_334/2016 du 18 octobre 2016 consid. 4.1). Le tiers peut ainsi être habilité à se prévaloir de normes qui ne sont pas destinées à le protéger seulement si l'admission de son grief est susceptible de lui procurer un avantage pratique (ATF 139 II 499 consid. 2.2 ; 137 II 30 consid. 2.2.3-2.3 ; arrêts du Tribunal fédéral 1C_56/2015 du 18 septembre 2015 consid. 4 ; 1C_386/2014 du</w:t>
      </w:r>
    </w:p>
    <w:p>
      <w:r>
        <w:rPr>
          <w:b/>
        </w:rPr>
        <w:t>E. 2.3</w:t>
      </w:r>
    </w:p>
    <w:p>
      <w:r>
        <w:t>; 1C_236/2010 du 16 juillet 2010 consid. 1.4 et 1.5 et les références citées ; ATA/1218/2015 du 10 novembre 2015 consid. 8 ; ATA/931/2014 du 25 novembre 2014 consid. 3c). Ainsi, les immissions ou les risques justifiant l'intervention d'un cercle élargi de personnes doivent présenter un certain degré d'évidence, sous peine d'admettre l'action populaire que la loi veut précisément exclure (ATF 121 II 176 consid. 3a ; arrêts du Tribunal fédéral 1C_343/2014 du 21 juillet 2014 consid. 2.2 ; 1A.47/2002 du 16 avril 2002 consid. 3.5; 1A.98/1994 du 28 mars 1995 consid. 2c in ZBl 96/1995 p. 527 ; ATA/801/2014 du 14 octobre 2014 consid. 4c et les arrêts cités), étant aussi précisé que, devant en soi reposer sur un intérêt actuel (cf. not. ATF 137 I 296 consid. 4.2 et les arrêts cités ; arrêt du Tribunal fédéral 2C_228/2017 du 21 juillet 2017 consid. 1.4.2), un recours motivé par une atteinte future hypothétique n'est pas recevable (cf. ATA/399/2009 du 25 août 2009 consid. 2b ; Piermarco ZEN-RUFFINEN, Christine GUY-ECABERT, Aménagement du territoire, construction, expropriation, 2001, n° 1665). Le recourant doit ainsi rendre vraisemblables les nuisances qu'il allègue et sur la réalisation desquelles il fonde une relation spéciale et étroite avec l'objet de la contestation (cf. ATF 125 I 173 consid. 1b et l'arrêt cité ; 120 Ia 227 consid. 1 ; 115 Ib 505 consid. 2 in fine et les références ; arrêts du Tribunal fédéral 1C_469/2014 du 24 avril 2015 consid. 2.2 ; 1C_453/2014 du 23 février 2015 consid. 4.2 et 4.3). Il est à cet égard insuffisant de s'intéresser spécialement à une question ou à un projet pour des motifs idéaux ou par conviction personnelle (cf. ATF 123 II 376 consid. 4a ; arrêt du Tribunal fédéral 1C_38/2015 du 13 mai 2015 consid. 3.3). 9. En matière de droit des constructions, le voisin direct de la construction ou de l'installation litigieuse dispose en principe de la qualité pour recourir (ATF 139 II 499 consid. 2.2 ; arrêts du Tribunal fédéral 1C_164/2019 du 20 janvier 2021 consid. 1 ; 1C_206/2019 du 6 août 2019 consid. 3.1 ; 1C_382/2017 du 16 mai 2018 consid. 1.2.1). Outre les propriétaires de biens-fonds voisins, les locataires, notamment, sont également susceptibles de remplir les conditions énoncées à l'art. 60 al. 1 let. b LPA (cf. arrêts du Tribunal fédéral 1C_56/2019 du 14 octobre 2019 consid. 1 ; 1C_206/2019 du 6 août 2019 consid. 3.1 et les arrêts cités ; ATA/66/2020 du 21 janvier 2020 consid. 2b et les arrêts cités). La proximité avec l'objet du litige ne suffit néanmoins pas à elle seule à conférer au voisin la qualité pour recourir. Le critère de la distance constitue certes un indice essentiel, la jurisprudence reconnaissant généralement la qualité pour agir lorsque</w:t>
      </w:r>
    </w:p>
    <w:p>
      <w:r>
        <w:t>- 21/28 - A/2392/2023 l'opposant est situé, au maximum, à une centaine de mètres du projet litigieux (ATF 140 II 214 consid. 2.3 ; arrêts du Tribunal fédéral 1C_654/2017 du 3 octobre 2018 consid. 2.2 ; 1C_565/2012 du 23 janvier 2013), mais il n'est pas à lui seul déterminant ;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 136 II 281 consid. 2.3.1 ; arrêts du Tribunal fédéral 1C_164/2019 du 20 janvier 2021 consid. 1 ; 1C_554/2019 du 5 mai 2020 consid. 3.1 ; 1C_206/2019 du 6 août 2019 consid. 3.1 ; 1C_654/2017 du 3 octobre 2018 consid. 2.2 ; 1C_27/2018 du 6 avril 2018 consid. 1.1 ; ATA/93/2021 du 26 janvier 2021 consid. 4b). Ainsi, par exemple, ont qualité pour recourir les riverains d'une route d'accès à un projet de construction, si l'augmentation des nuisances induites par le trafic supplémentaire est nettement perceptible (cf. ATF 136 II 281 consid. 2.3.2 ; 120 Ib 379 consid. 4c ; 113 Ib 225 consid. 1c ; arrêt du Tribunal fédéral 1C_164/2019 du 20 janvier 2021 consid. 1).</w:t>
      </w:r>
    </w:p>
    <w:p>
      <w:r>
        <w:rPr>
          <w:b/>
        </w:rPr>
        <w:t>E. 3</w:t>
      </w:r>
    </w:p>
    <w:p>
      <w:r>
        <w:t>Le recourant conclut, à titre principal, notamment à la constatation de la nullité de la décision DD 8______/1.</w:t>
      </w:r>
    </w:p>
    <w:p>
      <w:r>
        <w:rPr>
          <w:b/>
        </w:rPr>
        <w:t>E. 4</w:t>
      </w:r>
    </w:p>
    <w:p>
      <w:r>
        <w:t>La nullité doit être constatée d'office, en tout temps et par l'ensemble des autorités étatiques (ATF 138 II 501 consid. 3.1 ; 136 II 415 consid. 1.2 ; 132 II 342 consid.</w:t>
      </w:r>
    </w:p>
    <w:p>
      <w:r>
        <w:rPr>
          <w:b/>
        </w:rPr>
        <w:t>E. 5</w:t>
      </w:r>
    </w:p>
    <w:p>
      <w:r>
        <w:t>En l’espèce, le recourant conclut à ce que la décision d’autorisation attaquée soit déclarée nulle « au vu des manquements à plusieurs lois et dispositions constitutionnelles », soit en raison d’une violation des dispositions qu’il considère comme étant applicables au présent cas. Or, il sera rappelé que, conformément à la jurisprudence citée supra, la potentielle illégalité d’une décision reposant sur des vices de fond, comme cela serait le cas à suivre les arguments du recourant tels que mentionnés ci-dessus, ne saurait, en tout état, même si ces vices devaient être avérés, conduire à la constatation de la nullité de l’acte en cause. En effet, il s’agit d’arguments qui doivent être invoqués par le biais des voies de droit ordinaire, ce que le recourant fait d’ailleurs, dès lors qu’il conclut également, dans le cadre de son recours, à l’annulation de la décision attaquée en raison de la violation de plusieurs dispositions constitutionnelles, légales et réglementaires. Pour le surplus, force est de constater que l’autorisation litigieuse a été délivrée par l’autorité compétente, ce que le recourant ne conteste pas. En outre, aucun motif de nullité, au sens de la jurisprudence citée ci-dessus, ne ressort des éléments au dossier et le recourant n’a pas davantage démontré, ni même invoqué, l’existence de tels motifs. Partant, le tribunal ne saurait constater la nullité de la décision attaquée.</w:t>
      </w:r>
    </w:p>
    <w:p>
      <w:r>
        <w:rPr>
          <w:b/>
        </w:rPr>
        <w:t>E. 6</w:t>
      </w:r>
    </w:p>
    <w:p>
      <w:r>
        <w:t>Dès lors que le recourant a également, comme vu supra, conclu, à titre principal, à l’annulation de la décision attaquée, il convient d’examiner, dans un premier temps, si ce dernier peut se prévaloir de la qualité pour recourir sous l’angle de l’art. 60 LPA.</w:t>
      </w:r>
    </w:p>
    <w:p>
      <w:r>
        <w:t>- 19/28 - A/2392/2023</w:t>
      </w:r>
    </w:p>
    <w:p>
      <w:r>
        <w:rPr>
          <w:b/>
        </w:rPr>
        <w:t>E. 6.3</w:t>
      </w:r>
    </w:p>
    <w:p>
      <w:r>
        <w:t>;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2, 2011, pp. 734 s.).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 1C_206/2019 du 6 août 2019 consid. 3.1 ; 1C_27/2018 du 6 avril 2018 consid. 1.1). Tel n'est notamment pas le cas de celui qui n'est atteint que de manière indirecte ou médiate (ATF 138 V 292 consid. 4 ; 130 V 202 consid. 3 ; 133 V 188 consid. 4.3.1 ; arrêt du Tribunal fédéral 2C_1054/2016, 2C_1059/2016 du 15 décembre 2017 consid. 2.2 ; ATA/988/2016 du 22 novembre 2016 consid. 2d ; ATA/229/2016 du 15 mars 2016 consid. 4 ; ATA/931/2014 du 25 novembre 2014 consid. 3d).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w:t>
      </w:r>
    </w:p>
    <w:p>
      <w:r>
        <w:t>- 20/28 - A/2392/2023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 1.2 ; 1C_170/2018 du 10 juillet 2018 consid. 4.1 ; 1C_320/2010 du 9 février 2011 consid.</w:t>
      </w:r>
    </w:p>
    <w:p>
      <w:r>
        <w:rPr>
          <w:b/>
        </w:rPr>
        <w:t>E. 7</w:t>
      </w:r>
    </w:p>
    <w:p>
      <w:r>
        <w:t>La qualité pour recourir est notamment reconnue à toute personne atteinte par la décision attaquée et qui dispose d'un intérêt digne de protection à son annulation ou à sa modification (art. 60 al. 1 let. b LPA). Cette notion d'intérêt digne de protection s'interprète à la lumière de la jurisprudence fédérale rendue en application de l'art. 89 al. 1 LTF (cf. arrêts du Tribunal fédéral 1C_382/2020 du 16 novembre 2020 consid. 4.1 ; 1C_246/2016 du</w:t>
      </w:r>
    </w:p>
    <w:p>
      <w:r>
        <w:rPr>
          <w:b/>
        </w:rPr>
        <w:t>E. 10</w:t>
      </w:r>
    </w:p>
    <w:p>
      <w:r>
        <w:t>Dans l'ATF 133 II 249 (p. 253), ayant trait à un recours formé par un voisin, le Tribunal fédéral a inauguré une nouvelle jurisprudence, marquant son souci de mettre en œuvre la volonté restrictive du législateur concrétisée par une formulation nouvelle de la légitimation à recourir à l'art. 89 al. 1 LTF ; cet arrêt se réfère en outre aux débats des Chambres. La légitimation à recourir est ici reliée à la recevabilité des moyens susceptibles d'être invoqués par le recourant ; en substance, celui-ci n'est pas habilité à invoquer la violation d'une disposition si la modification de la décision attaquée pour se conformer à cette règle n'est pas de nature à influer sur sa propre situation. La règle de l'art. 89 LTF est dès lors interprétée en ce sens qu'elle entraîne une limitation des moyens susceptibles d'être invoqués (cf. Pierre MOOR/Etienne POLTIER, op. cit., p. 736 et 784). Cette approche différenciée de l'intérêt digne de protection a pour conséquence que cette condition doit s'examiner au regard de chacun des moyens soulevés par le recourant contre la décision attaquée (cf. Benoît BOVAY, Procédure administrative, 2ème éd., 2015, pp. 498 s.). Ainsi, si le voisin direct de la construction ou de l'installation litigieuse a en principe qualité pour recourir, il ne peut pas présenter n'importe quel grief ; il ne se prévaut d'un intérêt digne de protection, qui peut consister dans le fait que la construction prévue pourrait ne pas être réalisée du tout ou devoir l'être différemment de ce qui est prévu (cf. ATF 139 II 499 consid. 2.2 ; arrêts du Tribunal fédéral 1C_378/2019 du 17 juin 2020 consid. 1.2 ; 1C_226/2018 du 3 septembre 2019 consid. 1.1), lorsqu'il invoque des dispositions édictées dans l'intérêt général ou dans l'intérêt de tiers, que si ces normes peuvent avoir une influence sur sa propre situation de fait ou de droit (ATF 141 II 50 consid. 2.1 ; 139 II 499 consid. 2.2 ; 137 II 30 consid.</w:t>
      </w:r>
    </w:p>
    <w:p>
      <w:r>
        <w:rPr>
          <w:b/>
        </w:rPr>
        <w:t>E. 13</w:t>
      </w:r>
    </w:p>
    <w:p>
      <w:r>
        <w:t>Il incombe à la personne concernée d'alléguer, sous peine d'irrecevabilité de son recours, les faits propres à fonder sa qualité pour agir, lorsqu'ils ne ressortent pas à l'évidence de la décision attaquée ou du dossier en cause (cf. not. ATF 139 II 499 consid. 2.2 ; arrêts du Tribunal fédéral 1C_554/2019 du 5 mai 2020 consid. 3.1 ; 1C_96/2017 du 21 septembre 2017 consid. 2.1 ; 1C_243/2015 du 2 septembre 2015 consid. 4.1 ; ATA/1021/2016 du 6 décembre 2016 consid. 3c). En d'autres termes, il appartient au recourant d'établir son préjudice et, plus généralement, les éléments de fait permettant de conclure à la recevabilité de son acte (cf. Pierre MOOR/Etienne POLTIER, op. cit., p. 730).</w:t>
      </w:r>
    </w:p>
    <w:p>
      <w:r>
        <w:rPr>
          <w:b/>
        </w:rPr>
        <w:t>E. 14</w:t>
      </w:r>
    </w:p>
    <w:p>
      <w:r>
        <w:t>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w:t>
      </w:r>
    </w:p>
    <w:p>
      <w:r>
        <w:rPr>
          <w:b/>
        </w:rPr>
        <w:t>E. 16</w:t>
      </w:r>
    </w:p>
    <w:p>
      <w:r>
        <w:t>En conclusion, eu égard aux développements qui précèdent, le recours sera déclaré irrecevable.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1’000.- ; il est partiellement couvert par l’avance de frais versée à la suite du dépôt du recours. Vu l’issue du litige, aucune indemnité de procédure ne sera allouée au recourant, qui n’était d’ailleurs pas assisté d’un conseil dans le cadre de la présente procédure (art. 87 al. 2 LPA).</w:t>
      </w:r>
    </w:p>
    <w:p>
      <w:r>
        <w:rPr>
          <w:b/>
        </w:rPr>
        <w:t>E. 18</w:t>
      </w:r>
    </w:p>
    <w:p>
      <w:r>
        <w:t>Vu l'issue du litige, une indemnité de procédure de CHF 1’100.-, à la charge du recourant, sera allouée à l’HG (art. 87 al. 2 à 4 LPA et 6 RFPA).</w:t>
      </w:r>
    </w:p>
    <w:p>
      <w:r>
        <w:t>- 28/28 - A/2392/2023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