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JTAPI/172/2024 vom 17. Februar 2017</w:t>
      </w:r>
    </w:p>
    <w:p>
      <w:r>
        <w:t>GE Cour de justice, 2017-02-17, FR</w:t>
      </w:r>
    </w:p>
    <w:p>
      <w:r>
        <w:rPr>
          <w:b/>
        </w:rPr>
        <w:t xml:space="preserve">Quelle: </w:t>
      </w:r>
      <w:r>
        <w:t>https://mcp.opencaselaw.ch/entscheid/ge_gerichte_JTAPI_172_2024</w:t>
      </w:r>
    </w:p>
    <w:p>
      <w:r>
        <w:t>FR: GE_GERICHTE JTAPI/172/2024 du 17 février 2017</w:t>
      </w:r>
    </w:p>
    <w:p>
      <w:r>
        <w:t>IT: GE_GERICHTE JTAPI/172/2024 del 17 febbraio 2017</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- 7/13 - A/3490/2023</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À titre préalable, le recourant sollicite son audition ainsi que celle de Mme C______.</w:t>
      </w:r>
    </w:p>
    <w:p>
      <w:r>
        <w:rPr>
          <w:b/>
        </w:rPr>
        <w:t>E. 7</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citées).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8</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Par ailleurs, le droit d’être entendu ne comprend pas le droit d’être entendu oralement (cf. not. art. 41 in fine LPA ; ATF 140 I 68 consid. 9.6.1 ; 134 I 140 consid. 5.3 ; 130 II 425 consid. 2.1 ; arrêts du Tribunal fédéral 2C_668/2020 du</w:t>
      </w:r>
    </w:p>
    <w:p>
      <w:r>
        <w:t>- 8/13 - A/3490/2023 22 janvier 2021 consid. 3.3 ; 2C_339/2020 du 5 janvier 2021 consid. 4.2.2 ; ATA/1637/2017 du 19 décembre 2017 consid. 3d), ni celui d’obtenir l’audition de témoins (ATF 130 II 425 consid. 2.1 ; arrêts du Tribunal fédéral 2C_725/2019 du</w:t>
      </w:r>
    </w:p>
    <w:p>
      <w:r>
        <w:rPr>
          <w:b/>
        </w:rPr>
        <w:t>E. 12</w:t>
      </w:r>
    </w:p>
    <w:p>
      <w:r>
        <w:t>À teneur de l’art. 12 CEDH, à partir de l’âge nubile, l’homme et la femme ont le droit de se marier et de fonder une famille selon les lois nationales régissant l’exercice de ce droit. Ce principe est traduit en droit suisse à l’art. 14 Cst, selon lequel le droit au mariage et à la famille est garanti. Le droit de se marier se rattache aussi bien à la liberté personnelle qu’à la garantie de la vie familiale (Andreas AUER/Giorgio MALINVERNI/Michel HOTTELIER, Droit constitutionnel suisse, 3ème édition, p. 205 n. 421).</w:t>
      </w:r>
    </w:p>
    <w:p>
      <w:r>
        <w:rPr>
          <w:b/>
        </w:rPr>
        <w:t>E. 13</w:t>
      </w:r>
    </w:p>
    <w:p>
      <w:r>
        <w:t>Le droit au mariage protège la conclusion de celui-ci. Il peut faire l’objet de restrictions aux conditions rappelées ci-après. La liberté du législateur ne saurait, sauf cas exceptionnel, priver une personne ou une catégorie de personnes du droit de contracter mariage (ATF 113 II 1). En outre, la réglementation ne doit en aucun cas porter atteinte à l’essence de ce droit (Andreas AUER/Giorgio MALINVERNI/Michel HOTTELIER, op. cit., p. 210 n. 433 et 434).</w:t>
      </w:r>
    </w:p>
    <w:p>
      <w:r>
        <w:rPr>
          <w:b/>
        </w:rPr>
        <w:t>E. 14</w:t>
      </w:r>
    </w:p>
    <w:p>
      <w:r>
        <w:t>Toute restriction d’un droit fondamental doit être fondée sur une base légale, celle- ci doit être formelle s’il s’agit d’une restriction grave (art. 36 al. 1 Cst.). Elle doit</w:t>
      </w:r>
    </w:p>
    <w:p>
      <w:r>
        <w:t>- 9/13 - A/3490/2023 être justifiée par un intérêt public (art. 36 al. 2 Cst.) et doit être proportionnée au but visé (art. 36 al. 3 Cst.).</w:t>
      </w:r>
    </w:p>
    <w:p>
      <w:r>
        <w:rPr>
          <w:b/>
        </w:rPr>
        <w:t>E. 15</w:t>
      </w:r>
    </w:p>
    <w:p>
      <w:r>
        <w:t>Selon l’art. 98 du Code civil suisse du 10 décembre 1907 (CC - RS 210), les fiancés qui ne sont pas citoyens suisses doivent établir la légalité de leur séjour au cours de la procédure préparatoire.</w:t>
      </w:r>
    </w:p>
    <w:p>
      <w:r>
        <w:rPr>
          <w:b/>
        </w:rPr>
        <w:t>E. 16</w:t>
      </w:r>
    </w:p>
    <w:p>
      <w:r>
        <w:t>L'entrée en vigueur de l’art. 98 al. 4 CC n’a pas entraîné de modification de la LEI et de ses ordonnances d'exécution, notamment l'ordonnance relative à l'admission, au séjour et à l'exercice d'une activité lucrative, du 24 octobre 2007 (OASA - RS 142.201), qui règlent l'entrée, le séjour et la sortie de Suisse des étrangers dont le statut juridique n'est pas réglé par d'autres dispositions du droit fédéral ou par des traités internationaux conclus par la Suisse (art. 1 et 2 LEI).</w:t>
      </w:r>
    </w:p>
    <w:p>
      <w:r>
        <w:rPr>
          <w:b/>
        </w:rPr>
        <w:t>E. 17</w:t>
      </w:r>
    </w:p>
    <w:p>
      <w:r>
        <w:t>À teneur de l'art. 17 LEI, l’étranger entré légalement en Suisse pour un séjour temporaire et qui dépose ultérieurement une autorisation de séjour durable doit attendre la délivrance de celle-ci à l’étranger (al. 1). L’autorité cantonale peut cependant l’autoriser à rester en Suisse durant la procédure si les conditions d’entrée sont manifestement remplies (al. 2).</w:t>
      </w:r>
    </w:p>
    <w:p>
      <w:r>
        <w:rPr>
          <w:b/>
        </w:rPr>
        <w:t>E. 18</w:t>
      </w:r>
    </w:p>
    <w:p>
      <w:r>
        <w:t>Selon le Tribunal fédéral, qui a fait siens les principes dégagés par la Cour européenne des droits de l'Homme (ci-après: la CourEDH), notamment dans l'affaire O'Donoghue (ACEDH O'Donoghue et al. c. Royaume-Uni, du 14 décembre 2010, req. 34848/07, Rec. 2010, par. 85 ss), un étranger peut, à certaines conditions, déduire du droit au mariage garanti par l’art. 12 CEDH et l’art. 14 Cst. un droit à pouvoir séjourner en Suisse en vue de s’y marier (ATF 137 I 351 consid 3. 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jurisprudence publiée que le Tribunal fédéral a rappelée dans ses arrêts ultérieurs : arrêts du Tribunal fédéral 2C_81/2016 du 15 février 2015 consid. 6.1 ; 2C_498/2014 du 22 août 2014 consid. 3.2 ; 2C_1170/2013 du 28 juillet 2014 consid. 3.1 ; 2C_997/2012 du 15 mars 2013</w:t>
      </w:r>
    </w:p>
    <w:p>
      <w:r>
        <w:t>- 10/13 - A/3490/2023 consid. 3.1 ; arrêt du Tribunal administratif fédéral C-7294/2013 du 12 mars 2015 consid. 7).</w:t>
      </w:r>
    </w:p>
    <w:p>
      <w:r>
        <w:rPr>
          <w:b/>
        </w:rPr>
        <w:t>E. 19</w:t>
      </w:r>
    </w:p>
    <w:p>
      <w:r>
        <w:t>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(directives édictées par le secrétariat d’Etat aux migrations, version octobre 2013, état au 1er mars 2023 - ci-après : directives LEI -, ch. 5.6.5). Il convient par conséquent de vérifier si, au regard des circonstances du cas d’espèce, il apparaît d’emblée que le recourant, une fois marié, pourrait être admis à séjourner en Suisse. En effet, si, en raison des circonstances, notamment de la situation personnelle de l’étranger, il apparaît que ce dernier ne pourra pas, même une fois marié, être admis à séjourner en Suisse, l’autorité de police des étrangers peut renoncer à lui délivrer une autorisation de séjour provisoire en vue du mariage ; il n’y a en effet pas de raison de lui permettre de prolonger son séjour en Suisse pour s’y marier alors qu’il ne pourra de toute façon pas, par la suite, y vivre avec son conjoint (cf. ATF 138 I 41 consid. 4 ; 137 I 351 consid. 3.7 ; arrêts du Tribunal fédéral 2C_81/2016 du 16 février 2016 consid. 6.1 ; 2C_671/2015 du 21 août 2015 consid. 6.1). 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w:t>
      </w:r>
    </w:p>
    <w:p>
      <w:r>
        <w:rPr>
          <w:b/>
        </w:rPr>
        <w:t>E. 20</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w:t>
      </w:r>
    </w:p>
    <w:p>
      <w:r>
        <w:t>- 11/13 - A/3490/2023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w:t>
      </w:r>
    </w:p>
    <w:p>
      <w:r>
        <w:rPr>
          <w:b/>
        </w:rPr>
        <w:t>E. 21</w:t>
      </w:r>
    </w:p>
    <w:p>
      <w:r>
        <w:t>Par ailleurs,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22</w:t>
      </w:r>
    </w:p>
    <w:p>
      <w:r>
        <w:t>En l’espèce, les conditions légales précitées ne sont manifestement pas remplies, le recourant n’ayant nullement démontré que son projet de mariage avec Mme C______ serait encore d’actualité et pourrait être célébré dans un délai raisonnable. En effet, à teneur du dossier, le recourant a quitté le Suisse pour le Portugal, où il a entrepris des démarches en vue de l’obtention d’une autorisation de séjour, et il n’a pas démontré qu’une procédure de mariage serait toujours en cours auprès de l’office de l’état civil de la Mairie de E______. Il résulte par ailleurs du rapport d’enquête effectué par l’OCPM le 10 mai 2023 que, contrairement à ce qu’il a indiqué dans sa demande et dans son recours, le recourant n’a jamais fait ménage commun avec Mme C______ au domicile de cette dernière. De plus, cette dernière n’a jamais donné suite aux multiples demandes de renseignements, tant de l’OCPM que de la Mairie, sur ses véritables intentions et sa situation personnelle, de sorte que l’autorité intimée n’a pas été en mesure de déterminer si les conditions d’un regroupement familial ultérieur seraient réalisées. Pour rappel, c’est au recourant de supporter les conséquences de l’absence de preuve et de son manque de collaboration à l’établissement des faits. Cela étant, le tribunal relèvera que le recourant ayant déjà faisant l’objet de deux décision de refus d’autorisation de séjour et de renvoi exécutoires, cette nouvelle demande d’autorisation en vue de mariage - déposée un mois après l’entrée en force de l’arrêt rendu par la chambre administrative (ATA/2______) confirmant le refus de l’OCPM de lui délivrer une autorisation de séjour pour cas de rigueur - ne semble avoir d’autre but que celui d’éviter à tout prix l’exécution de son renvoi.</w:t>
      </w:r>
    </w:p>
    <w:p>
      <w:r>
        <w:rPr>
          <w:b/>
        </w:rPr>
        <w:t>E. 23</w:t>
      </w:r>
    </w:p>
    <w:p>
      <w:r>
        <w:t>Compte tenu de ce qui précède, c’est à juste titre que l’autorité intimée a retenu que les conditions de la délivrance d’une autorisation en vue de mariage au recourant au sens des art. 30 let. b LEI en relation avec l’art. 31 OASA n’étaient pas remplies.</w:t>
      </w:r>
    </w:p>
    <w:p>
      <w:r>
        <w:t>- 12/13 - A/3490/2023</w:t>
      </w:r>
    </w:p>
    <w:p>
      <w:r>
        <w:rPr>
          <w:b/>
        </w:rPr>
        <w:t>E. 24</w:t>
      </w:r>
    </w:p>
    <w:p>
      <w:r>
        <w:t>L'examen du cas sous l'angle de l'art. 8 CEDH conduit à la même conclusion, cette disposition ne conférant notamment pas un droit à séjourner dans un État déterminé (ATF 139 I 330 consid. 2.1 ; 135 I 143 consid. 1.3.1 ; 135 I 153 consid. 2.1 ; cf. également JTAPI/1310/2023 précité consid. 30 et ss les concernant).</w:t>
      </w:r>
    </w:p>
    <w:p>
      <w:r>
        <w:rPr>
          <w:b/>
        </w:rPr>
        <w:t>E. 25</w:t>
      </w:r>
    </w:p>
    <w:p>
      <w:r>
        <w:t>Enfin, en lien avec les art. 12 CEDH et 14 Cst., le tribunal rappellera que, si leur projet de mariage est toujours d’actualité, les fiancés conservent la possibilité de se marier à l'étranger, notamment au Sénégal ou au Portugal.</w:t>
      </w:r>
    </w:p>
    <w:p>
      <w:r>
        <w:rPr>
          <w:b/>
        </w:rPr>
        <w:t>E. 26</w:t>
      </w:r>
    </w:p>
    <w:p>
      <w:r>
        <w:t>Partant, c'est conformément au droit, y compris au droit constitutionnel et à la CEDH, que l'OCPM a refusé de leur délivrer une autorisation de séjour en vue de mariage. Ce faisant, il n’a pas abusé ni mésusé de son pouvoir d'appréciation, ni encore violé le principe de proportionnalité.</w:t>
      </w:r>
    </w:p>
    <w:p>
      <w:r>
        <w:rPr>
          <w:b/>
        </w:rPr>
        <w:t>E. 27</w:t>
      </w:r>
    </w:p>
    <w:p>
      <w:r>
        <w:t>En conséquence, mal fondé, le recours sera rejeté et la décision attaquée confirmée.</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Il est couvert par l’avance de frais versée à la suite du dépôt du recours.</w:t>
      </w:r>
    </w:p>
    <w:p>
      <w:r>
        <w:rPr>
          <w:b/>
        </w:rPr>
        <w:t>E. 29</w:t>
      </w:r>
    </w:p>
    <w:p>
      <w:r>
        <w:t>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SEM.</w:t>
      </w:r>
    </w:p>
    <w:p>
      <w:r>
        <w:t>- 13/13 - A/3490/2023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