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JTAPI/169/2023 vom 9. Februar 2023</w:t>
      </w:r>
    </w:p>
    <w:p>
      <w:r>
        <w:t>GE Cour de justice, 2023-02-09, FR</w:t>
      </w:r>
    </w:p>
    <w:p>
      <w:r>
        <w:rPr>
          <w:b/>
        </w:rPr>
        <w:t xml:space="preserve">Quelle: </w:t>
      </w:r>
      <w:r>
        <w:t>https://mcp.opencaselaw.ch/entscheid/ge_gerichte_JTAPI_169_2023</w:t>
      </w:r>
    </w:p>
    <w:p>
      <w:r>
        <w:t>FR: GE_GERICHTE JTAPI/169/2023 du 9 février 2023</w:t>
      </w:r>
    </w:p>
    <w:p>
      <w:r>
        <w:t>IT: GE_GERICHTE JTAPI/169/2023 del 9 febbraio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ATA/1260/2020 du 15 décembre 2020 consid. 2a et les arrêts cités).</w:t>
      </w:r>
    </w:p>
    <w:p>
      <w:r>
        <w:rPr>
          <w:b/>
        </w:rPr>
        <w:t>E. 3</w:t>
      </w:r>
    </w:p>
    <w:p>
      <w:r>
        <w:t>Aucune construction ou installation ne peut être créée ou transformée sans autorisation de l'autorité compétente (art. 22 al. 1 de la loi fédérale sur l'aménagement du territoire du 22 juin 1979 - LAT - RS 700 ; art. 1 al. 1 LCI).</w:t>
      </w:r>
    </w:p>
    <w:p>
      <w:r>
        <w:rPr>
          <w:b/>
        </w:rPr>
        <w:t>E. 4</w:t>
      </w:r>
    </w:p>
    <w:p>
      <w:r>
        <w:t>Les recourants font valoir que la décision leur impose soit la démolition des bâtiments soit le dépôt d’une autorisation de construire ; ils estiment donc implicitement qu’il s’agit d’une décision finale. Le département, pour sa part, estime qu’il s’agit d’une décision incidente.</w:t>
      </w:r>
    </w:p>
    <w:p>
      <w:r>
        <w:rPr>
          <w:b/>
        </w:rPr>
        <w:t>E. 5</w:t>
      </w:r>
    </w:p>
    <w:p>
      <w:r>
        <w:t>Une décision incidente est une décision prise pendant le cours d’une procédure, qui ne représente qu’une étape vers la décision finale (arrêts du Tribunal fédéral 8C_686/2011 du 2 mai 2012 consid. 4.1 ; 1C_40/2012 du 14 février 2012 consid.</w:t>
      </w:r>
    </w:p>
    <w:p>
      <w:r>
        <w:rPr>
          <w:b/>
        </w:rPr>
        <w:t>E. 6</w:t>
      </w:r>
    </w:p>
    <w:p>
      <w:r>
        <w:t>De jurisprudence constante, la chambre administrative de la Cour de justice (ci- après : la chambre administrative) retient que ne peut être considérée comme finale une décision qui ordonne de déposer une requête d’autorisation de construire relative à des travaux non autorisés constatés par le département. Celui- 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(ATA/1548/2017 du 28 novembre 2017 consid. 4 ; ATA/433/2018 du 8 mai 2018 consid. 4 ; ATA/1399/2019 du 17 septembre 2019 confirmé par un arrêt du Tribunal fédéral 1C_557/2019 du 21 avril 2020 ; ATA/957/2020 du 29 septembre 2020 consid. 4).</w:t>
      </w:r>
    </w:p>
    <w:p>
      <w:r>
        <w:rPr>
          <w:b/>
        </w:rPr>
        <w:t>E. 7</w:t>
      </w:r>
    </w:p>
    <w:p>
      <w:r>
        <w:t>Dans le cas d’espèce, dans sa décision litigieuse, le département a laissé le soin aux recourants de déposer une demande d’autorisation de construire définitive en bonne et due forme. À défaut, il considérerait qu’ils avaient renoncé à tenter de légaliser les travaux réalisés sans autorisation, leur imposant alors la remise en état. Vu que les recourants avaient le choix de supprimer les installations en cause plutôt que d’essayer de régulariser la situation, cette décision n’était qu’une invitation à déposer une demande définitive, de même que des documents</w:t>
      </w:r>
    </w:p>
    <w:p>
      <w:r>
        <w:t>- 7/9 - A/3087/2022 nécessaires à son analyse. En aucun cas la décision querellée ordonnait la démolition des installations non conformes. Au vu de ce qui précède, c’est dès lors à juste titre que le département a estimé que la décision litigieuse n’est qu’une étape vers la décision finale, laquelle tranchera, après instruction de la requête sur la base notamment des documents sollicités, la question de la délivrance ou non d’une autorisation de construire. Les recourants pourront, s’ils s’y estiment fondés, recourir contre celle-ci. Il s’agit donc bien ici d’une décision incidente.</w:t>
      </w:r>
    </w:p>
    <w:p>
      <w:r>
        <w:rPr>
          <w:b/>
        </w:rPr>
        <w:t>E. 8</w:t>
      </w:r>
    </w:p>
    <w:p>
      <w:r>
        <w:t>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rPr>
          <w:b/>
        </w:rPr>
        <w:t>E. 9</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w:t>
      </w:r>
    </w:p>
    <w:p>
      <w:r>
        <w:rPr>
          <w:b/>
        </w:rPr>
        <w:t>E. 10</w:t>
      </w:r>
    </w:p>
    <w:p>
      <w:r>
        <w:t>La chambre administrative a précisé à plusieurs reprises que l’art. 57 let. c LPA devait être interprété à la lumière de ces principes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w:t>
      </w:r>
    </w:p>
    <w:p>
      <w:r>
        <w:t>- 8/9 - A/3087/2022</w:t>
      </w:r>
    </w:p>
    <w:p>
      <w:r>
        <w:rPr>
          <w:b/>
        </w:rPr>
        <w:t>E. 11</w:t>
      </w:r>
    </w:p>
    <w:p>
      <w:r>
        <w:t>En l’espèce, les recourants doivent se soumettre à la procédure relative au dépôt d’une demande définitive d’autorisation de construire et aux inconvénients qui y sont liés – constitution d’un dossier, dépôt de documents, éventuel paiement d’émoluments – sans toutefois que ces éléments ne constituent en eux-mêmes un préjudice irréparable conformément à la jurisprudence précitée. Par ailleurs, ils ne produisent aucun élément qui permettraient de retenir que leur situation financière ne leur permettrait pas d’assumer les frais d’une procédure en autorisation de construire. Il n’apparaît pour le reste pas que l’admission du présent recours conduirait immédiatement à une décision finale qui permettrait d’éviter une procédure probatoire longue et coûteuse. La décision litigieuse a en effet précisément pour objet d’amener les recourants à déposer une demande d’autorisation de construire définitive, condition indispensable pour permettre au département d’instruire le dossier et de se prononcer sur le fond.</w:t>
      </w:r>
    </w:p>
    <w:p>
      <w:r>
        <w:rPr>
          <w:b/>
        </w:rPr>
        <w:t>E. 12</w:t>
      </w:r>
    </w:p>
    <w:p>
      <w:r>
        <w:t>Si les recourants devaient décider de ne pas déposer une autorisation de construire définitive et ne pas remettre en état, le département devra lui notifier éventuellement une décision de remise en état en bonne et due forme avec l’indication des voies de recours.</w:t>
      </w:r>
    </w:p>
    <w:p>
      <w:r>
        <w:rPr>
          <w:b/>
        </w:rPr>
        <w:t>E. 13</w:t>
      </w:r>
    </w:p>
    <w:p>
      <w:r>
        <w:t>Il découle de ce qui précède que les conditions de l'art. 57 let. c LPA ne sont pas remplies de sorte que le recours sera déclaré irrecevable.</w:t>
      </w:r>
    </w:p>
    <w:p>
      <w:r>
        <w:rPr>
          <w:b/>
        </w:rPr>
        <w:t>E. 14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Le solde de l’avance de frais, soit CHF 400.- leur sera restitué. Vu l’issue du litige, aucune indemnité de procédure ne sera allouée (art. 87 al. 2 LPA).</w:t>
      </w:r>
    </w:p>
    <w:p>
      <w:r>
        <w:t>- 9/9 - A/3087/2022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