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JTAPI/167/2025 vom 13. Februar 2025</w:t>
      </w:r>
    </w:p>
    <w:p>
      <w:r>
        <w:t>GE Cour de justice, 2025-02-13, FR</w:t>
      </w:r>
    </w:p>
    <w:p>
      <w:r>
        <w:rPr>
          <w:b/>
        </w:rPr>
        <w:t xml:space="preserve">Quelle: </w:t>
      </w:r>
      <w:r>
        <w:t>https://mcp.opencaselaw.ch/entscheid/ge_gerichte_JTAPI_167_2025</w:t>
      </w:r>
    </w:p>
    <w:p>
      <w:r>
        <w:t>FR: GE_GERICHTE JTAPI/167/2025 du 13 février 2025</w:t>
      </w:r>
    </w:p>
    <w:p>
      <w:r>
        <w:t>IT: GE_GERICHTE JTAPI/167/2025 del 13 febbraio 2025</w:t>
      </w:r>
    </w:p>
    <w:p>
      <w:pPr>
        <w:pStyle w:val="Heading2"/>
      </w:pPr>
      <w:r>
        <w:t>Erwägungen</w:t>
      </w:r>
    </w:p>
    <w:p>
      <w:r>
        <w:rPr>
          <w:b/>
        </w:rPr>
        <w:t>E. 9</w:t>
      </w:r>
    </w:p>
    <w:p>
      <w:r>
        <w:t>Par décision DITAI/180/2023 du 24 avril 2023, le tribunal a prononcé la suspension de l’instruction du recours, d’accord entre les parties.</w:t>
      </w:r>
    </w:p>
    <w:p>
      <w:r>
        <w:rPr>
          <w:b/>
        </w:rPr>
        <w:t>E. 10</w:t>
      </w:r>
    </w:p>
    <w:p>
      <w:r>
        <w:t>Par courrier du 16 mai 2024, le tribunal, faisant suite à la demande du DT du 8 mai 2024, l’a informé de la reprise de l’instruction de la procédure, lui impartissant un délai au 17 juin 2024 (ultérieurement prolongé au 21 juin suivant) pour transmettre ses observations.</w:t>
      </w:r>
    </w:p>
    <w:p>
      <w:r>
        <w:rPr>
          <w:b/>
        </w:rPr>
        <w:t>E. 11</w:t>
      </w:r>
    </w:p>
    <w:p>
      <w:r>
        <w:t>Par courrier du même jour, le tribunal a informé la recourante qu’il refusait de faire droit à sa demande du 16 mai 2024, tendant à une nouvelle suspension de l’instruction de la procédure.</w:t>
      </w:r>
    </w:p>
    <w:p>
      <w:r>
        <w:rPr>
          <w:b/>
        </w:rPr>
        <w:t>E. 12</w:t>
      </w:r>
    </w:p>
    <w:p>
      <w:r>
        <w:t>Dans ses observations du 21 juin 2024, le DT a conclu, sous suite de frais et dépens, au rejet du recours, s’en remettant à justice quant à sa recevabilité. La recourante avait allégué que la benne avait été évacuée, sans le prouver, alors que le fardeau de la preuve lui en incombait. Cette constatation valait également s’agissant du stationnement des véhicules (J). À cet égard, la recourante qui alléguait que l’objet répertorié sous lettre J correspondait, non pas à un lieu de</w:t>
      </w:r>
    </w:p>
    <w:p>
      <w:r>
        <w:t>- 7/20 - A/391/2023 stationnement de véhicules, mais à un un dépôt constitué de palettes de terreau, de copeaux de bois, de bois de feu, de branches coupées et d'une remorque mobile avec outils de jardinage, avait échoué à en apporter la preuve. En tout état, l'entreposage de tels objets, qui avaient un impact sur le site et, donc, sur la zone agricole, n’échappait pas à l’obligation d'obtenir une autorisation de construire, en application de la jurisprudence. Par ailleurs, la benne (A), les remorques (D), le stationnement des véhicules (J), ainsi que les trois containers (H) correspondaient indiscutablement à des constructions ou des installations au sens de l’art. 22 de la loi fédérale sur l’aménagement du territoire du 22 juin 1979 (LAT - RS 700), comme définis par la jurisprudence. Il s’agissait en effet de créations de la main de l'homme, excluant toute modification naturelle du terrain. De plus, la recourante ne pouvait valablement soutenir que ces objets n’avaient pas un caractère durable car elle admettait elle-même qu’elle se livrait à une activité de paysagisme sur la parcelle, tout en indiquant que ces objets étaient indispensables à l'exploitation de son entreprise. Ainsi, même si ces objets n’étaient pas fixés au sol, il n’en demeurait pas moins qu’ils répondaient clairement à la notion jurisprudentielle de « constructions installées pour un temps non négligeable, en un lieu fixe ». Le critère de l'incidence sur l'affectation du sol était aussi manifestement réalisé. Toutes les installations en cause avaient un impact visuel sur le paysage et un effet indéniable sur l'environnement au sens large. Le recouvrement de la surface des places de stationnement par du gravier, ainsi que l'implantation de la benne, des remorques et des trois containers remplaçaient la terre cultivable et avaient un impact important sur l'environnement. Ces aménagements litigieux constituaient ainsi des constructions ou installations au sens de l'art. 22 al. 1 LAT et nécessitaient l'obtention d'une autorisation de construire au sens de cette disposition et de l'art. 1 LCI. Par conséquent, l’ordre de remise en état était justifié. À cet égard, si le DT n’était pas indifférent au fait que les installations litigieuses étaient nécessaires à l’activité exercée par la recourante, il n'en demeurait pas moins qu’il ressortait d’une jurisprudence rendue dans un cas similaire, que les intérêts publics au respect du principe de la séparation du bâti et du non-bâti, de la limitation du nombre et des dimensions des constructions en zone agricole, ainsi que le respect du principe de l'égalité devant la loi l’emportaient largement sur l'intérêt privé de la recourante à conserver des aménagements litigieux, quand bien même ils étaient importants pour l’exercice de son activité. De plus, s’agissant de constructions et d’installations légères pouvant être facilement démolies et évacuées, l'ordre de remise en état paraissait parfaitement proportionné. Par ailleurs, compte tenu de la doctrine et de jurisprudence en la matière, la recourante ne pouvait déduire, des trois années qu’avait duré l’instruction du</w:t>
      </w:r>
    </w:p>
    <w:p>
      <w:r>
        <w:t>- 8/20 - A/391/2023 dossier, une tolérance à l’égard des installations litigieuses ou une violation du principe de la bonne foi. Le DT n’avait en effet pas fait preuve d’une tolérance « active » durant une période prolongée de l’ordre d’une dizaine d’années. Le fait que le DT ait rendu la décision litigieuse près de deux ans après avoir obtenu les déterminations de la recourante ne signifiait nullement qu’il tolérait les objets en cause ni qu’il avait renoncé à agir, étant rappelé qu’il avait interpellé la recourante, dès réception de la plainte.</w:t>
      </w:r>
    </w:p>
    <w:p>
      <w:r>
        <w:rPr>
          <w:b/>
        </w:rPr>
        <w:t>E. 13</w:t>
      </w:r>
    </w:p>
    <w:p>
      <w:r>
        <w:t>Le 5 août 2024, dans le respect du délai prolongé par le tribunal, la recourante a répliqué, sous la plume de son conseil, persistant dans son argumentation et ses conclusions. Les aménagements litigieux qui se trouvaient sur la parcelle servaient directement à l’exercice de son activité de pépiniériste-paysagiste qui l'obligeait à se déplacer fréquemment auprès de sa clientèle, tout en disposant d'un système d'entreposage efficace dédié à l'entretien et à la culture des plantes. Il ressortait du reportage photographique annexé que la benne (A) avait été évacuée et que le propriétaire avait installé des ruches à l’emplacement en question. L’absence de véhicules stationnés (J) pouvait également être constatée. Le dépôt était uniquement constitué d'une benne de taille moyenne, regroupant des déchets verts, et de divers matériaux utilisés pour l'activité déployée (palettes de terreaux, copeaux de bois, bois de feu). Les branches coupées étaient désormais directement déposées dans la benne, avant d'être vidée sur le site de récupération. Le choix de son emplacement, sur une bande de roulement, permettait à la recourante de maintenir la viabilité économique de son exploitation, de regrouper les trajets et les déchets, tout en réduisant considérablement les nuisances pour le voisinage que provoqueraient le transport quotidien en déchetterie. Ces éléments mobiles n’étaient ni stockés de « manière stationnaire » ni durablement fixés au sol. Ils étaient au contraire déplacés quotidiennement sur la parcelle ou transportés sur les chantiers en cours. Contrairement aux éléments dont il était question dans la jurisprudence citée par le DT, les objets précités étaient constitués de matériaux organiques, issus principalement de la décomposition de végétaux, qui ne portaient pas atteinte à l'affectation du sol. Concernant la petite remorque mobile, elle se trouvait désormais à l'emplacement des divers matériaux (objet D) et servait avant tout au transport des outils de plantation. Quant aux deux remorques (objet D), elles étaient constamment attelées à l'un des véhicules de l'entreprise et stationnées uniquement pour le déchargement des outils. Compte tenu de la fréquence des déplacements et de leur emplacement sur la parcelle, soit près de la route, elles ne pouvaient pas être considérées comme des installations fixes, faute de « lien spatial étroit avec la parcelle ». Les trois containers (objet H) étaient des éléments centraux indispensables à l'activité déployée par la recourante, d'un point de vue logistique, organisationnel</w:t>
      </w:r>
    </w:p>
    <w:p>
      <w:r>
        <w:t>- 9/20 - A/391/2023 et administratif. Cela étant, afin de se conformer à l’ordre de remise en état, la recourante les avaient mis en vente. Elle ne comptait toutefois pas s’en séparer par tous les moyens et à vil prix. Partant, si l’ordre de remise en état devait être confirmé, il conviendrait alors de lui accorder un délai raisonnable afin qu’elle puisse les vendre à un prix correct. Seuls les remorques (D) et les divers matériaux précités (J) demeuraient désormais litigieux. Or, ils ne pouvaient pas être qualifiés de constructions ou d’installations au sens de l'art. 22 al. 1 LAT, dès lors qu’ils n’exerçaient aucune incidence sur l'affectation du sol et n’en affectait pas sa fertilité. La recourante mettait simplement à profit le terrain pour développer la culture horticole dans le cadre de son activité. Il convenait également de rappeler que tous les objets litigieux étaient localisés en dehors des surfaces d’assolement. Ils ne remettaient pas en cause les caractéristiques de la parcelle objectivement apte à l'agriculture et leur mise en conformité ne conduirait de toute évidence pas au retour de la parcelle à un usage agricole. Ces objets n’étaient ainsi pas des installations susceptibles d’affecter le sol et ils n’étaient pas soumis à l’obligation de requérir une autorisation de construire. Par ailleurs, depuis 2012, divers dépôts mobiles non fixés au sol étaient entreposés sur la partie louée de la parcelle sans que cela n’ait été relevé par le DT. Auparavant, le propriétaire de la parcelle, lui-même paysagiste, y avait aménagé certains dépôts que la recourante avait repris. Il ressortait d’ailleurs des images aériennes du système d'information du territoire à Genève (ci-après : SITG), que plusieurs emplacements extérieurs directement liés à l'activité déployée se trouvaient sur la parcelle depuis 1960. En outre, le DT était au courant de la problématique à laquelle les entreprises de pépiniériste-paysagiste était confrontée. Il avait en effet toujours été difficile de trouver des surfaces de taille suffisante pour exploiter une pépinière hors de la zone agricole à Genève et il était économiquement impossible de relocaliser celle-ci en zone industrielle. Les faibles marges bénéficiaires ne permettaient en effet pas de couvrir les coûts élevés des parcelles dans cette zone. La recourante avait entrepris toutes les démarches possibles auprès des services compétents pour trouver une solution. Elle s’était également adressée à diverses associations et communes afin de relocaliser son activité, toutefois en vain. Pour sa part, le DT avait adopté un comportement contradictoire en accordant un moratoire puis en le révoquant, alors que la situation des entreprises concernées demeurait délicate. Ces circonstances renforçaient le caractère totalement injustifié et disproportionné de la décision querellée qui avait été rendue quelques mois seulement après la fin du moratoire. Or, compte tenu de l'absence d'intérêt public à une suppression rapide des aménagements litigieux et de l'intérêt évident à maintenir à Genève une activité de pépiniériste-paysagiste, le DT aurait, à tout le moins, dû accorder un délai</w:t>
      </w:r>
    </w:p>
    <w:p>
      <w:r>
        <w:t>- 10/20 - A/391/2023 raisonnable à la recourante pour se relocaliser, ce qui aurait permis de facto de rétablir une situation conforme à la zone agricole. Enfin, l’intérêt public que le DT tentait de faire primer devait être relativisée car la parcelle, qui se trouvait certes en zone agricole, se situait à quelques mètres de la zone villa adjacente. Dans cette mesure et en attendant que la recourante puisse se relocaliser, l’intérêt public à la destruction des aménagements litigieux ne pouvait l’emporter sur son intérêt privé à poursuivre son activité. Il apparaissait ainsi que le DT n’avait pas respecté le sous-principe de la nécessité et qu’il avait créé des attentes chez la recourante.</w:t>
      </w:r>
    </w:p>
    <w:p>
      <w:r>
        <w:rPr>
          <w:b/>
        </w:rPr>
        <w:t>E. 14</w:t>
      </w:r>
    </w:p>
    <w:p>
      <w:r>
        <w:t>Le DT a dupliqué le 21 août 2024, persistant dans ses conclusions. Il prenait bonne note du fait que les objets A et J avaient été évacués. Sous l’angle de la proportionnalité de l’ordre de remise en état, un intérêt purement économique ne l’emportait pas sur le rétablissement d’une situation conforme au droit et les intérêts publics, dont il avait fait état dans ses observations, primaient largement sur l'intérêt privé de la recourante à conserver les objets litigieux, quand bien même ils étaient importants pour le fonctionnement de son entreprise. Enfin, il était difficile de comprendre en quoi les circonstances évoquées par la recourante, en lien avec le moratoire, constituaient une violation du principe de la bonne foi. Il n’y avait d’ailleurs aucune contradiction entre le fait de suspendre pour une durée relativement limitée des procédures de mise en conformité − initiées avant la mise en place du moratoire − puis de les reprendre ensuite, faute de solution.</w:t>
      </w:r>
    </w:p>
    <w:p>
      <w:r>
        <w:rPr>
          <w:b/>
        </w:rPr>
        <w:t>E. 15</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alors que celui qui place l’autorité devant un fait accompli doit au contraire s’attendre à ce que celle-ci se préoccupe plus de rétablir une situation conforme au droit que d’éviter les inconvénients qui en découlent pour lui (ATF 123 II 248 consid. 4a ; arrêts du Tribunal fédéral 1C_60/2021 du 27 juillet 2021 consid. 3.1).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(arrêts du Tribunal fédéral 1C_341/2019 du 24 août 2020 consid. 6.1 ; 1C_276/2016 du 2 juin 2017 consid. 3.3). À cet égard, l’absence de vocation agricole et la proximité d’habitations ne sont pas déterminantes (cf. arrêt du Tribunal fédéral 1C_164/2007 du 13 septembre 2007 consid. 4.3 ; ATA/290/ 2016 du 5 avril 2016 consid. 7a ; ATA/1190/2015 du 3 novembre 2015 consid. 4b).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w:t>
      </w:r>
    </w:p>
    <w:p>
      <w:r>
        <w:t>- 16/20 - A/391/2023</w:t>
      </w:r>
    </w:p>
    <w:p>
      <w:r>
        <w:rPr>
          <w:b/>
        </w:rPr>
        <w:t>E. 16</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(ATA/355/2024 du 12 mars 2024 consid. 3.5).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ATA/258/2024 du 27 février 2024 consid. 6.3).</w:t>
      </w:r>
    </w:p>
    <w:p>
      <w:r>
        <w:rPr>
          <w:b/>
        </w:rPr>
        <w:t>E. 17</w:t>
      </w:r>
    </w:p>
    <w:p>
      <w:r>
        <w:t>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De manière générale dans l’examen de la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w:t>
      </w:r>
    </w:p>
    <w:p>
      <w:r>
        <w:rPr>
          <w:b/>
        </w:rPr>
        <w:t>E. 18</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 qu'elle ait agi ou soit censée avoir agi dans les limites de ses compétences ; que l'administré n'ait pas pu se rendre compte immédiatement de l'inexactitude du renseignement obtenu ; qu’il se soit fondé sur les assurances ou le comportement dont il se prévaut pour prendre des dispositions auxquelles il ne saurait renoncer sans subir de préjudice ;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4ème éd., 2021, p. 645 n. 1297 ss ; Thierry TANQUEREL, Manuel de droit administratif, 2ème éd., 2018, p. 206 n. 578).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 elle être rendue responsable d'un comportement contradictoire, même si celui-ci est dû à des personnes différentes, au besoin à l'insu des unes et des autres (ATF 121 I 181 consid. 2a; arrêt 1C_50/2020 du 8 octobre 2020 consid. 8.1.2).</w:t>
      </w:r>
    </w:p>
    <w:p>
      <w:r>
        <w:t>- 18/20 - A/391/2023</w:t>
      </w:r>
    </w:p>
    <w:p>
      <w:r>
        <w:rPr>
          <w:b/>
        </w:rPr>
        <w:t>E. 19</w:t>
      </w:r>
    </w:p>
    <w:p>
      <w:r>
        <w:t>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rPr>
          <w:b/>
        </w:rPr>
        <w:t>E. 20</w:t>
      </w:r>
    </w:p>
    <w:p>
      <w:r>
        <w:t>En l’espèce, c’est à bon droit que le DT a adressé la décision querellée à la recourante, ce qui n’est pas contesté. En effet, en tant que locataire de la partie de la parcelle où se situent les objets litigieux qu’elle entrepose, la recourante est perturbatrice par situation et par comportement. En outre, les objets visés par l’ordre de remise en état n’ont pas été autorisés, alors qu’ils sont soumis à autorisation de construire, tel que cela ressort des considérants qui précèdent. Par ailleurs, il ne peut être reproché au DT d’avoir adopté une attitude propre à tromper la recourante ni à lui laisser penser qu’il tolérait les objets litigieux. Le fait qu’il ait attendu deux ans après la remise des déterminations du 14 octobre 2020 pour prononcer la décision querellée ne signifie pas, à teneur de la jurisprudence susmentionnée, qu’il les ait tolérés d’une façon qui serait constitutive d’une autorisation tacite ou d’une renonciation à faire respecter les dispositions transgressées. La recourante a d’ailleurs bénéficié de facto de la suspension de la procédure dirigée à son encontre durant les discussions entreprises par les parties pour tenter de trouver une solution. Cela étant, le DT n’a donné aucune assurance ou indication à la recourante quant à l’issue de ces discussions et cette dernière n’a pris, sur la base du comportement de l’autorité intimée, aucune disposition concrète à laquelle elle ne pourrait renoncer sans subir de préjudice. Dans ces conditions, le grief de violation du principe de la bonne foi doit être écarté. En outre, l’intérêt privé de la recourante au maintien des objets litigieux non autorisés, qu’elle considère indispensable à la poursuite de son activité, est certes important. Il doit néanmoins céder le pas sur l’un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au respect des règles de droit public des constructions. L’intérêt à préserver ladite zone doit ainsi primer sur l’intérêt purement économique de la recourante. De plus, cette dernière ne saurait se prévaloir d’une situation créée sans autorisation pour s’opposer à la remise en état, étant rappelé, qu’en mettant le département</w:t>
      </w:r>
    </w:p>
    <w:p>
      <w:r>
        <w:t>- 19/20 - A/391/2023 devant le fait accompli, elle devait s’attendre à ce que ce dernier se préoccupe davantage de rétablir une situation conforme au droit que d’éviter les inconvénients qui en découlent pour elle (ATF 123 II 248 consid. 4a ; arrêt du Tribunal fédéral 1C_33/2014 du 18 septembre 2014 consid. 4.1 et les références citées ; ATA/543/2022 du 24 mai 2022 consid. 4c ; Nicolas WISARD/Samuel BRÜCKNER/Milena PIREK, Les constructions « illicites », in Jean-Baptiste ZUFFEREY [éd.], Journées suisses du droit de la construction 2019, p. 218)). Au surplus, le fait que les paysagistes ne disposeraient pas de terrain pour exercer leur activité ne saurait justifier une violation de la législation en vigueur. Enfin, il n’existe aucune mesure moins incisive que la remise en état pour rétablir une situation conforme au droit et à l’intérêt public au respect de la zone agricole, dans laquelle il convient de se montrer strict. Il s’agit d’une mesure adéquate et apte à atteindre le but visé, étant rappelé que l’absence de vocation agricole de la parcelle et sa proximité avec la zone villa ne sont pas déterminantes, conformément à la jurisprudence. Au surplus, la suppression des dépôts qui subsistent encore n'est pas une tâche particulièrement compliquée, comme la recourante l’indique elle-même, ni coûteuse. Il s'ensuit que le principe de la proportionnalité n'a manifestement pas été violé (cf. ATF 123 II 248 consid. 4 p. 255; 111 Ib 213 consid. 6b p. 224).</w:t>
      </w:r>
    </w:p>
    <w:p>
      <w:r>
        <w:rPr>
          <w:b/>
        </w:rPr>
        <w:t>E. 21</w:t>
      </w:r>
    </w:p>
    <w:p>
      <w:r>
        <w:t>Au vu de ce qui précède, le recours, mal fondé, sera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CHF 900.- versée à la suite du dépôt du recours. Vu l’issue du litige, aucune indemnité de procédure ne sera allouée (art. 87 al. 2 LPA).</w:t>
      </w:r>
    </w:p>
    <w:p>
      <w:r>
        <w:t>- 20/20 - A/391/2023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