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JTAPI/165/2024 vom 26. Februar 2024</w:t>
      </w:r>
    </w:p>
    <w:p>
      <w:r>
        <w:t>GE Cour de justice, 2024-02-26, FR</w:t>
      </w:r>
    </w:p>
    <w:p>
      <w:r>
        <w:rPr>
          <w:b/>
        </w:rPr>
        <w:t xml:space="preserve">Quelle: </w:t>
      </w:r>
      <w:r>
        <w:t>https://mcp.opencaselaw.ch/entscheid/ge_gerichte_JTAPI_165_2024</w:t>
      </w:r>
    </w:p>
    <w:p>
      <w:r>
        <w:t>FR: GE_GERICHTE JTAPI/165/2024 du 26 février 2024</w:t>
      </w:r>
    </w:p>
    <w:p>
      <w:r>
        <w:t>IT: GE_GERICHTE JTAPI/165/2024 del 26 febbraio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2.3</w:t>
      </w:r>
    </w:p>
    <w:p>
      <w:r>
        <w:t>et 133 II 1 consid. 5.1 ; arrêts du Tribunal fédéral 2C_765/2015 du 18 septembre 2015 consid. 5.3 ; 2C_218/2013 du 26 mars 2013 consid. 5.1 ; 2C_624/2011 du 12 septembre 2011 consid. 2.1 ; 2C_974/2010 du 11 janvier 2011 consid. 3.1 et</w:t>
      </w:r>
    </w:p>
    <w:p>
      <w:r>
        <w:t>- 7/9 - A/631/2024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w:t>
      </w:r>
    </w:p>
    <w:p>
      <w:r>
        <w:rPr>
          <w:b/>
        </w:rPr>
        <w:t>E. 8</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9</w:t>
      </w:r>
    </w:p>
    <w:p>
      <w:r>
        <w:t>Selon l’art. 25 al. 1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qui traite de la réponse à une requête aux fins de prise en charge, l’Etat membre requis procède aux vérifications nécessaires et statue sur la requête aux fins de reprise en charge de la personne concernée aussi rapidement que possible et en tout état de cause dans un délai n’excédant pas un mois à compter de la date de réception de la requête. Lorsque la requête est fondée sur des données obtenues par le système Eurodac, ce délai est réduit à deux semaines.</w:t>
      </w:r>
    </w:p>
    <w:p>
      <w:r>
        <w:rPr>
          <w:b/>
        </w:rPr>
        <w:t>E. 10</w:t>
      </w:r>
    </w:p>
    <w:p>
      <w:r>
        <w:t>Il ressort de l’art. 28 par. 2 du règlement Dublin III, qui traite du placement en rétention aux fins de transfert, que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w:t>
      </w:r>
    </w:p>
    <w:p>
      <w:r>
        <w:t>- 6/9 - A/631/2024 prendre ou de reprendre en charge la personne, y compris l’obligation d’assurer la bonne organisation de son arrivée. 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 27, paragraphe 3.</w:t>
      </w:r>
    </w:p>
    <w:p>
      <w:r>
        <w:rPr>
          <w:b/>
        </w:rPr>
        <w:t>E. 11</w:t>
      </w:r>
    </w:p>
    <w:p>
      <w:r>
        <w:t>À teneur de l'art. 76a al. 1 LEI, afin d'assurer son renvoi dans l'État Dublin responsable, l'autorité compétente peut mettre l'étranger en détention sur la base d'une évaluation individuelle lorsque les conditions suivantes sont remplies : - des éléments concrets font craindre que l'étranger concerné n'entende se soustraire au renvoi (let. a) ; - la détention est proportionnée (let. b) ; - d'autres mesures moins coercitives ne peuvent être appliquées de manière efficace (art. 28 par. 2 du règlement [UE] n° 604/2013 ; let. c).</w:t>
      </w:r>
    </w:p>
    <w:p>
      <w:r>
        <w:rPr>
          <w:b/>
        </w:rPr>
        <w:t>E. 12</w:t>
      </w:r>
    </w:p>
    <w:p>
      <w:r>
        <w:t>Selon l'art. 76a al. 2 LEI, les éléments concrets font craindre que l'étranger entende se soustraire à l'exécution du renvoi si : - son comportement en Suisse ou à l'étranger permet de conclure qu'il refuse d'obtempérer aux instructions des autorités (let. b) ; - il quitte la région qui lui est assignée ou pénètre dans une zone qui lui est interdite en vertu de l'art. 74 (let d) ; - a été condamné pour crime (let. h).</w:t>
      </w:r>
    </w:p>
    <w:p>
      <w:r>
        <w:rPr>
          <w:b/>
        </w:rPr>
        <w:t>E. 13</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14</w:t>
      </w:r>
    </w:p>
    <w:p>
      <w:r>
        <w:t>Comme toute mesure étatique, la détention administrative en matière de droit des étrangers doit dans tous les cas respecter le principe de la proportionnalité (cf. art. 5 al. 2 et 36 Cst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15</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16</w:t>
      </w:r>
    </w:p>
    <w:p>
      <w:r>
        <w:t>Dès l’accord de réadmission donné par les autorités de l’Etat Dublin responsable, la détention prévue par l’art. 76a al. 3 let. a LEI passe directement dans la phase de procédure visée par l’art. 76a al. 3 let. c LEI, qui concerne le transfert proprement dit dans l’Etat Dublin responsable et prévoit une durée de détention maximale de six semaines. Il convient à cet égard de préciser que le fait de passer d'une phase à l'autre de la procédure de renvoi Dublin, au sens des let. a à c de l'art. 76a al. 3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LEI, p. 901).</w:t>
      </w:r>
    </w:p>
    <w:p>
      <w:r>
        <w:rPr>
          <w:b/>
        </w:rPr>
        <w:t>E. 17</w:t>
      </w:r>
    </w:p>
    <w:p>
      <w:r>
        <w:t>En l’espèce, M. A______ qui n'est pas au bénéfice d'une autorisation de courte durée, de séjour ou d'établissement, a notamment été condamné pour vol, au sens de l'art. 139 ch. 1 CP, soit une infraction qui constitue un crime selon l'art. 10 al. 2 CP. Par ailleurs, l'intéressé a violé à plusieurs reprises l'interdiction qui lui avait été faite par le commissaire de police de pénétrer dans le canton de Genève, raison pour laquelle il a également été condamné pour infraction à l'art. 119 al. 1 LEI. Au vu du comportement adopté jusqu'ici par l’intéressé - étant souligné qu'il a été condamné quatre fois en l'espace de deux mois -, il y a tout lieu de considérer qu'il n'a aucune intention de se plier aux décisions des autorités ni de collaborer avec ces dernières dans le cadre de son refoulement. Il existe ainsi des éléments concrets faisant craindre que, s'il était laissé en liberté, il se soustrairait à son renvoi de Suisse, laquelle mesure ne pourrait être mise en œuvre par les services concernés, faute de pouvoir localiser l'intéressé en temps utile. Il ressort en outre des éléments du dossier que M. A______ ne dispose d'aucun lieu de résidence fixe en Suisse, ni d'aucun lien particulier avec ce pays, ni non plus d'aucune source légale de revenu.</w:t>
      </w:r>
    </w:p>
    <w:p>
      <w:r>
        <w:t>- 8/9 - A/631/2024 Le risque qu'il disparaisse sans que l'on puisse vérifier son départ pour le pays responsable du traitement de sa demande d'asile apparaît ainsi suffisamment élevé, de sorte que toute autre mesure moins incisive que la détention administrative serait vaine pour assurer sa présence au moment où il devra être reconduit dans l'État Dublin responsable. Partant, il convient d'admettre que les conditions prévues par l'art. 76a al. 1 et 2 LEI sont réunies et que la détention est conforme au principe de proportionnalité. Concernant les démarches entreprises, force est de constater que les autorités ont agi dans le cadre de leurs obligations légales et avec célérité. Elles ont dans un premier temps sollicité les autorités allemandes, pays mentionné par M. A______ comme étant l’Etat responsable de sa demande d’asile. Face au refus du 7 février 2024 desdites autorités de le réadmettre, elles ont interpellé les autorités espagnoles le 8 février 2024 et demeure actuellement dans l’attente de leur réponse implicite ou explicite, étant précisé que lorsqu’elles ont présenté leur requête M. A______ n’était pas en détention administrative et que dès lors, en application de l’art. 25 du règlement Dublin III, les autorités espagnoles disposaient d’un délai de réponse d’un mois, soit jusqu’au 8 mars 2024, puisque, comme expliqué par le commissaire de police, la requête des autorités suisses ne se fondait pas sur des données obtenues par le système Eurodac - l’Espagne n’y figurant plus - mais sur les indications fournies par l’Allemagne. Cela étant, M. A______ étant en détention administrative depuis le 20 février 2024, l’art. 28 du règlement Dublin III, qui fixe des règles de procédure spécifiques à suivre lorsqu’une personne est placée en rétention/détention administrative, doit désormais s’appliquer à sa situation. Ainsi, en application de l’al. 3 de cette disposition, la réponse des autorités espagnoles, qui ont dû être informées du placement en rétention de l’intéressé aux fins de son transfert, doit être donnée dans un délai raccourci de deux semaines, soit au plus tard le 5 mars 2024 (cf dans ce sens : European Asylum Support Office, EASO, Guide sur la procédure de Dublin: normes opérationnelles et indicateurs ; Indicateur 52.4). Au-delà de cette date, l’absence de réponse des autorités espagnoles équivaudra à l’acceptation de la requête de prise en charge. Dans cette mesure, la durée de la détention de sept semaines, décidée par le commissaire de police, respecte le cadre légal fixé par l'art. 76a al. 3 let. a LEI. Elle n’apparaît en outre pas disproportionnée au vu des circonstances concrètes.</w:t>
      </w:r>
    </w:p>
    <w:p>
      <w:r>
        <w:rPr>
          <w:b/>
        </w:rPr>
        <w:t>E. 18</w:t>
      </w:r>
    </w:p>
    <w:p>
      <w:r>
        <w:t>Au vu de ce qui précède, il y a lieu de confirmer l’ordre de mise en détention administrative de M. A______ pour une durée de sept semaines.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A/631/2024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