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JTAPI/165/2023 vom 9. Februar 2023</w:t>
      </w:r>
    </w:p>
    <w:p>
      <w:r>
        <w:t>GE Cour de justice, 2023-02-09, FR</w:t>
      </w:r>
    </w:p>
    <w:p>
      <w:r>
        <w:rPr>
          <w:b/>
        </w:rPr>
        <w:t xml:space="preserve">Quelle: </w:t>
      </w:r>
      <w:r>
        <w:t>https://mcp.opencaselaw.ch/entscheid/ge_gerichte_JTAPI_165_2023</w:t>
      </w:r>
    </w:p>
    <w:p>
      <w:r>
        <w:t>FR: GE_GERICHTE JTAPI/165/2023 du 9 février 2023</w:t>
      </w:r>
    </w:p>
    <w:p>
      <w:r>
        <w:t>IT: GE_GERICHTE JTAPI/165/2023 del 9 febbraio 2023</w:t>
      </w:r>
    </w:p>
    <w:p>
      <w:pPr>
        <w:pStyle w:val="Heading2"/>
      </w:pPr>
      <w:r>
        <w:t>Erwägungen</w:t>
      </w:r>
    </w:p>
    <w:p>
      <w:r>
        <w:rPr>
          <w:b/>
        </w:rPr>
        <w:t>E. 19</w:t>
      </w:r>
    </w:p>
    <w:p>
      <w:r>
        <w:t>Ce recours a été enregistré sous le numéro de cause A/2271/2022.</w:t>
      </w:r>
    </w:p>
    <w:p>
      <w:r>
        <w:rPr>
          <w:b/>
        </w:rPr>
        <w:t>E. 20</w:t>
      </w:r>
    </w:p>
    <w:p>
      <w:r>
        <w:t>Le 13 juillet 2022, les recourants, sous la plume de leur conseil, ont répliqué dans le cadre du recours A/559/2022. Compte tenu de la teneur du courrier du 29 avril 2022, ils avaient présumé que l’OAC avait pris la mesure des violations commises lorsqu’il avait prononcé la décision du 14 janvier 2022. Or, ce dernier avait non seulement persisté à défendre cette décision dans ses observations du 17 juin 2022, mais il avait également rendu une nouvelle décision le 24 juin 2022 sans annuler la précédente, passant ces éléments sous silence. Ainsi, soit le service juridique ignorait ce qui se passait à l’OAC, soit il agissait en toute mauvaise foi en dissimulant au tribunal</w:t>
      </w:r>
    </w:p>
    <w:p>
      <w:r>
        <w:t>- 14/32 - A/559/2022 une procédure parallèle. Dans les deux cas, l'attitude de l’OAC était manifestement abusive et constitutive d'un acharnement injustifié à leur encontre, et devait être sanctionnée. Cela étant, l’OAC n’avait tiré aucune leçon de la jurisprudence rendue par le Tribunal fédéral. Il affirmait vouloir se conformer au droit tout en continuant à violer sciemment le droit, dans sa pratique actuelle. En outre, il n’avait pas indiqué les motifs pour lesquels il considérait que les objets E et F étaient soumis à autorisation de construire. Une fois ces motifs exposés, les recourants devraient pouvoir se déterminer en vertu de leur droit à la réplique. En tout état, ces objets avaient été aménagés entre 1932 et 1946. À supposer qu’ils datent de 1946, ils étaient antérieurs à toute législation en matière d’aménagement du territoire et en particulier à la date clef du 1er juillet 1972. Avant le 27 avril 1940, les constructions étaient régies par la loi modifiant la loi générale sur les routes, la voirie, les constructions, les cours d'eau, les mines et l'expropriation du 15 juin 1895, puis par la LCI du 9 mars 1929. Ces lois permettaient de comprendre qu'une construction ou une installation était un « bâtiment » et en aucun cas un jardin ou une allée. L’art. 1 de la LCI du 27 avril 1940 définissait les constructions et installation, notamment le fait de réaliser des apports de terre modifiant la configuration d’un terrain (let. d). Il s'agissait de modifications importantes du sol impliquant un terrassement substantiel assimilable à une construction, tel qu’un remblayage changeant le niveau naturel du terrain, comme dans le cas traité dans l'ATA/1335/2019. La réalisation des objets E et F n’avait nécessité aucun mouvement de terre. Sous le régime de la loi de 1940, de tels aménagements n'étaient pas sujets à autorisation. Ils avaient donc été érigés légalement et bénéficiaient de la garantie de la situation acquise. Compte tenu des travaux entrepris par leur père et de l’autorisation de construire DD 3______, il était évident que si l’OAC avait constaté une illégalité à l’époque, il serait intervenu, étant précisé que l’état actuel du bâtiment correspondait à l’autorisation délivrée, comme en attestaient les photos aériennes de 1963. Dans la mesure où toutes les constructions et tous les aménagements étaient légaux, l’OAC n’avait rien fait durant quarante-quatre ans, soit jusqu’en 2022. À présent, il se bornait à analyser les constructions et aménagements au regard de la définition posée par le Tribunal fédéral depuis l'entrée en vigueur de la LAT, alors qu'elle n'était pas applicable à l’époque. L’autorité intimée utilisait d'ailleurs cette définition de manière inégale puisqu'elle admettait la licéité des objet G et H. Or, la seule différence entre ces deux objets et les objets E et F était que les premiers étaient visibles sur la photo de 1932. Même s’ils n’avaient pas exactement la même date de réalisation, ils avaient un point commun essentiel, car ils avaient tous été érigés légalement en vertu du régime légal applicable à l'époque.</w:t>
      </w:r>
    </w:p>
    <w:p>
      <w:r>
        <w:t>- 15/32 - A/559/2022 Dans ces circonstances, l’OAC avait, de manière abusive et contraire au droit, remis en cause la validité de constructions et aménagements réalisés légalement avant 1946, en dépit du fait qu'il les avait admises ensuite en 1958 et 1961, puis en 1986, respectivement dans le cadre de l’autorisation de construire DD 3______ et de la procédure de mise à l'inventaire de la propriété. S’agissant des autres objets litigieux (D, J, K, N) ils ont repris les arguments développés dans leurs précédentes écritures.</w:t>
      </w:r>
    </w:p>
    <w:p>
      <w:r>
        <w:rPr>
          <w:b/>
        </w:rPr>
        <w:t>E. 21</w:t>
      </w:r>
    </w:p>
    <w:p>
      <w:r>
        <w:t>Dans sa duplique du 20 juillet 2022, dans le cadre de la procédure A/559/2022, l’OAC a persisté dans ses conclusions, contestant le fait que le DT avait eu l’intention de dissimuler l’instruction en parallèle d’une procédure d’infraction.</w:t>
      </w:r>
    </w:p>
    <w:p>
      <w:r>
        <w:rPr>
          <w:b/>
        </w:rPr>
        <w:t>E. 22</w:t>
      </w:r>
    </w:p>
    <w:p>
      <w:r>
        <w:t>Dans ses observations du 9 septembre 2022, dans le cadre de la procédure A/2271/2022, l’OAC a conclu au rejet du recours, précisant que la décision contestée devait effectivement être considérée comme une décision finale pouvant faire l’objet d’un recours dans un délai de trente jours. S’agissant de l’art. 1 al. 1 LCI du 27 avril 1940, à teneur duquel, sur tout le territoire du canton, nul ne pouvait sans avoir adressé une requête au département compétent et avoir obtenu de celui-ci une autorisation « procéder à des fouilles en pleine masse, ou à des apports de terre qui modifient la configuration d'un terrain », cette loi apportait une modification importante aux « objets soumis à autorisation », sans pour autant que les travaux préparatoires de l’époque ne l’aient commentée (Mémorial du Grand Conseil pour les années 1938 à 1940 faisant référence au projet de modification de la loi sur les constructions et les installations diverses). Les recherches menées n’avaient certes pas permis de déterminer la définition de la notion de « configuration du terrain ». Cependant, selon le dictionnaire de l’académie française, il s’agissait « d’aspect général » ce qui laissait supposer que non seulement le nivellement du terrain devait être pris en compte, mais également son apparence extérieure. Or, l'apport de gravier nécessaire à la création du jardin à la française et du chemin d'accès avait eu un impact visuel et esthétique sur la parcelle susmentionnée qui était située à l'époque en cinquième zone à bâtir, soit celle exclusivement réservée « aux villas, aux exploitations rurales et aux grands domaines de plaisance » (art. 13 al. 9 LCI du</w:t>
      </w:r>
    </w:p>
    <w:p>
      <w:r>
        <w:rPr>
          <w:b/>
        </w:rPr>
        <w:t>E. 27</w:t>
      </w:r>
    </w:p>
    <w:p>
      <w:r>
        <w:t>En l’espèce, ni les recourants ni le département n’ont été en mesure d’établir l’année de construction du jardin à la française (objet E) et de l’allée en gravier (objet F). Leur construction peut toutefois être située entre 1932 et 1946 car ils n’apparaissent pas sur la photographie aérienne de 1932 mais ils sont visibles sur celle de 1946. Les diverses recherches menées par le tribunal n’ont pas non plus permis de dater leur année de construction (notamment sur le site internet https://www.swisstopo.admin.ch/), indication qui est d’importance.</w:t>
      </w:r>
    </w:p>
    <w:p>
      <w:r>
        <w:t>- 28/32 - A/559/2022</w:t>
      </w:r>
    </w:p>
    <w:p>
      <w:r>
        <w:rPr>
          <w:b/>
        </w:rPr>
        <w:t>E. 28</w:t>
      </w:r>
    </w:p>
    <w:p>
      <w:r>
        <w:t>Cette question peut cependant rester indécise, car même à supposer l'applicabilité de la LCI du 27 avril 1940 au moment de la construction de ces deux objets, on ne saurait considérer qu'ils ont entraîné des modifications sensibles du terrain naturel au sens de l'art. 1 al. 1 let. d de cette loi et de l'art. 3 al. 2 de son règlement d'application, que ce soit en termes de fouilles, terrassement ou apports de terre. Ainsi qu'en attestent les photographies aériennes du périmètre, la parcelle en cause est essentiellement plate et l'on ne voit pas quels travaux de remblais ou de déblais d'une certaine importance auraient été nécessaires pour l'aménagement des allées et du jardin à la française, ni de l'allée de gravier menant de la demeure jusqu'à l'extrémité de la parcelle.</w:t>
      </w:r>
    </w:p>
    <w:p>
      <w:r>
        <w:rPr>
          <w:b/>
        </w:rPr>
        <w:t>E. 29</w:t>
      </w:r>
    </w:p>
    <w:p>
      <w:r>
        <w:t>Par conséquent, c'est à tort que l'autorité intimée a retenu dans sa décision que les objets E et F avaient été construit de manière illicite. Il en va autrement des objets K (portail) et N (clôture périphérique) qui ont été datés de 1960 par le représentant des propriétaires. En effet, ces objets sont incontestablement des constructions ou installations qui nécessitaient des autorisations, en application de l’art. 1 al. 1 let. c LCI du 1er avril 1959 qui, reprenant de manière inchangée l'art. 1 al. 1 let. c de la LCI du 27 avril 1940, visait explicitement de tels aménagements.</w:t>
      </w:r>
    </w:p>
    <w:p>
      <w:r>
        <w:rPr>
          <w:b/>
        </w:rPr>
        <w:t>E. 30</w:t>
      </w:r>
    </w:p>
    <w:p>
      <w:r>
        <w:t>Or, il ne ressort pas du dossier que des autorisations aient été obtenues, ni même demandées et aucun élément ne permet d’affirmer que ces objets auraient été inclus dans l’autorisation de construire DD 7______ du 20 avril 1959 qui portait uniquement sur un mur. Le raisonnement que tiennent les recourants au sujet du fait que la rénovation complète de la demeure, à la même époque, devait nécessairement impliquer l'édification d'un portail d'accès au domaine, ainsi que d'une clôture, et que ces objets devaient donc être inclus dans l'une des autorisations de construire délivrées à cette époque, ne suffit pas pour constituer une preuve, différentes hypothèses contraires pouvant également être retenues (comme par exemple la présence sur les lieux d'un gardien, le souhait du propriétaire de pouvoir circuler en entrant et sortant de son domaine sans avoir à ouvrir ou fermer à chaque fois un portail, la plantation d'une haie plutôt que d'une clôture, de manière à s'abriter visuellement du voisinage, etc.) En l'absence de preuve apportée par les propriétaires sur le fait que les objets K et N ont été construits au bénéfice d'une autorisation de construire, force est de constater qu'ils ont été édifiés de manière illégale. Les recourants reprochent à l’autorité intimé d’avoir traité différemment deux portails non autorisés, soit les objet L et K, en retenant que le premier était licite, contrairement au second.</w:t>
      </w:r>
    </w:p>
    <w:p>
      <w:r>
        <w:rPr>
          <w:b/>
        </w:rPr>
        <w:t>E. 31</w:t>
      </w:r>
    </w:p>
    <w:p>
      <w:r>
        <w:t>La protection contre l'arbitraire (art. 9 de la Constitution fédérale de la Confédération suisse du 18 avril 1999 - Cst. - RS 101) et celle de l'égalité (art. 8 Cst.) sont étroitement liées. Un acte - une décision ou un arrêté - est arbitraire lorsqu'il ne repose pas sur des motifs sérieux et objectifs ou n'a ni sens ni but. Il viole le droit à l'égalité ancré à l'art. 8 Cst. lorsqu'il établit des distinctions</w:t>
      </w:r>
    </w:p>
    <w:p>
      <w:r>
        <w:t>- 29/32 - A/559/2022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cela suppose que le traitement différent ou semblable injustifié se rapporte à une situation de fait importante (ATF 142 I 195 consid. 6.1 ; 139 I 242 consid. 5.1 ; 138 I 265 consid. 4.1 ; 136 I 297 consid. 6.1 ; 135 I 130 consid. 6.2 ; arrêt du Tribunal fédéral 8C_285/2015 du 27 avril 2016 consid. 5). L'inégalité de traitement apparaît ainsi comme une forme particulière d'arbitraire, consistant à traiter de manière inégale ce qui devrait l'être de manière semblable ou inversement (ATF 141 I 153 consid. 5.1 ; 140 I 77 consid. 5.1 ; 137 V 334 consid. 6.2.1 ; 134 I 23 consid. 9.1 ; arrêt du Tribunal fédéral 8C_285/2015 du 27 avril 2016 consid. 5).</w:t>
      </w:r>
    </w:p>
    <w:p>
      <w:r>
        <w:rPr>
          <w:b/>
        </w:rPr>
        <w:t>E. 32</w:t>
      </w:r>
    </w:p>
    <w:p>
      <w:r>
        <w:t>En l’espèce, l’autorité intimée a expliqué dans ses écritures les motifs pour lesquels il avait considéré que l’objet L était licite à la différence de l’objet K. En effet, le représentant des propriétaires avait daté l’objet L de 1900 alors qu’il avait daté l’objet K de 1960 et l’autorité intimée avait fait preuve de tolérance en admettant qu’il était plausible que l’objet L datait de 1900, soit avant l’entrée en vigueur de la LCI du 9 mars 1929. Dans la mesure où les objets K et L ne datent pas de la même année et qu’ils ne sont donc pas soumis à la même législation, c’est à bon droit que l’autorité intimé les a traités différemment. Ce grief sera donc rejeté.</w:t>
      </w:r>
    </w:p>
    <w:p>
      <w:r>
        <w:rPr>
          <w:b/>
        </w:rPr>
        <w:t>E. 33</w:t>
      </w:r>
    </w:p>
    <w:p>
      <w:r>
        <w:t>Aux termes de l'art. 129 LCI, le département peut ordonner les mesures suivantes à l’égard des constructions, des installations ou d’autres choses : la suspension des travaux (let. a) ; l’évacuation (let. b) ; le retrait du permis d’occupation (let. c) ; l’interdiction d’utiliser ou d’exploiter (let. d) ; la remise en état, la réparation, la modification, la suppression ou la démolition (let. e).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L'art. 131 LCI stipule que les propriétaires ou leurs mandataires, les entrepreneurs et les usagers sont tenus de se conformer aux mesures ordonnées par le département en application des art. 129 et 130 LCI. Lorsqu'il constate qu’une construction a été érigée sans droit, le département peut inviter l’intéressé à déposer une autorisation de construire, ce qui peut constituer</w:t>
      </w:r>
    </w:p>
    <w:p>
      <w:r>
        <w:t>- 30/32 - A/559/2022 une alternative à une remise en état (ATA/1548/2017 du 28 novembre 2017 consid. 4a).</w:t>
      </w:r>
    </w:p>
    <w:p>
      <w:r>
        <w:rPr>
          <w:b/>
        </w:rPr>
        <w:t>E. 34</w:t>
      </w:r>
    </w:p>
    <w:p>
      <w:r>
        <w:t>En l’espèce, dans sa décision du 24 juin 2022, l’OAC a notamment indiqué que la réalisation des objets D, E, F, K et N était soumise à l’obtention d’une autorisation de construire et a ordonné aux recourants de requérir une autorisation de construire définitive dans un délai de trente jours ou de procéder, dans le même délai, à la mise en conformité des lieux en procédant à la suppression et à l’évacuation des objets précités. Compte tenu des développements qui précèdent et dès lors que les objets E et F ne sont, au terme du présent jugement, plus concernés, il conviendra de confirmer cette décision en tant qu’elle concerne les objets D, K et N. C'est le lieu de préciser que le présent jugement se contente d'examiner si les objets litigieux étaient soumis à autorisation au moment de leur édification et s'ils ont été érigés au bénéfice d'une telle autorisation. Comme la décision querellée laisse aux recourants le choix de tenter de régulariser ces objets plutôt que d'en entreprendre d'emblée la démolition, il est prématuré d'examiner si un ordre de démolition que l'autorité intimée souhaiterait ultérieurement prononcer contre deux objets de peu d'importance construits en 1960 respecterait le principe de proportionnalité. Le tribunal ne se prononcera donc pas à ce stade sur cette question. S’agissant de l’objet D, les recourants se sont déclarés disposés à le démolir, ce dont le tribunal leur donne acte.</w:t>
      </w:r>
    </w:p>
    <w:p>
      <w:r>
        <w:rPr>
          <w:b/>
        </w:rPr>
        <w:t>E. 35</w:t>
      </w:r>
    </w:p>
    <w:p>
      <w:r>
        <w:t>Au vu de ce qui précède, le recours sera partiellement admis et la décision du 24 juin 2022 sera annulée en tant qu’elle concerne les objet E et F. Elle sera confirmée pour le surplus.</w:t>
      </w:r>
    </w:p>
    <w:p>
      <w:r>
        <w:rPr>
          <w:b/>
        </w:rPr>
        <w:t>E. 36</w:t>
      </w:r>
    </w:p>
    <w:p>
      <w:r>
        <w:t>En application des art. 87 al. 1 LPA et 1 et 2 du règlement sur les frais, émoluments et indemnités en procédure administrative du 30 juillet 1986 (RFPA - E 5 10.03), les recourants, dont le premier recours est devenu sans objet suite à la seconde décision du département et dont le second recours est partiellement admis, sont condamnés, pris solidairement, au paiement d’un émolument réduit s'élevant à CHF 600.- ; il est couvert par les avances de frais totalisant CHF 1'800.- versées à la suite du dépôt des recours. Le solde des avances de frais, soit CHF 1'200.-, sera restitué aux recourants. Vu l’issue du litige, une indemnité de procédure réduite de CHF 800.- sera allouée aux recourants, à la charge de l'État de Genève, soit pour lui l'autorité intimée (art. 87 al. 2 LPA).</w:t>
      </w:r>
    </w:p>
    <w:p>
      <w:r>
        <w:t>- 31/32 - A/559/2022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