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JTAPI/165/2022 vom 23. Februar 2022</w:t>
      </w:r>
    </w:p>
    <w:p>
      <w:r>
        <w:t>GE Cour de justice, 2022-02-23, FR</w:t>
      </w:r>
    </w:p>
    <w:p>
      <w:r>
        <w:rPr>
          <w:b/>
        </w:rPr>
        <w:t xml:space="preserve">Quelle: </w:t>
      </w:r>
      <w:r>
        <w:t>https://mcp.opencaselaw.ch/entscheid/ge_gerichte_JTAPI_165_2022</w:t>
      </w:r>
    </w:p>
    <w:p>
      <w:r>
        <w:t>FR: GE_GERICHTE JTAPI/165/2022 du 23 février 2022</w:t>
      </w:r>
    </w:p>
    <w:p>
      <w:r>
        <w:t>IT: GE_GERICHTE JTAPI/165/2022 del 23 febbraio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Par ailleurs, le droit d'être entendu ne comprend pas celui d'être entendu oralement (cf. not. art. 41 in fine LPA ; ATF 140 I 68 consid. 9.6.1 ; 134 I 140 consid. 5.3 ; 130 II 425 consid. 2.1).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Ces principes s'appliquent notamment à la tenue d'une inspection locale, en l'absence d'une disposition cantonale imposant une telle mesure d'instruction (ATF 120 Ib 224 consid. 2b ; 112 Ia 198 consid. 2b ; arrêts du Tribunal fédéral 1C_243/2013 du 27 septembre 2013 consid. 3.2.1 ; 1C 61/2011 du 4 mai 2011 consid. 3.1 ; 1C_327/2009 du 5 novembre 2009 consid. 3.1 ; ATA/720/2012 du 30 octobre 2012), ce qui n'est pas le cas à Genève.</w:t>
      </w:r>
    </w:p>
    <w:p>
      <w:r>
        <w:rPr>
          <w:b/>
        </w:rPr>
        <w:t>E. 4</w:t>
      </w:r>
    </w:p>
    <w:p>
      <w:r>
        <w:t>En l’espèce, les recourants sollicitent la tenue d'un transport sur place et leur audition. Or, de tels acte d'instruction ne sont pas obligatoires et ils n'apparaissent pas nécessaires en l'occurrence. En effet, le dossier contient déjà les éléments utiles, telles que les photographies permettant au tribunal, qui peut par ailleurs se faire une idée du site avec l'aide d'outils en ligne, notamment le service</w:t>
      </w:r>
    </w:p>
    <w:p>
      <w:r>
        <w:t>- 6/16 - A/2049/2021 d’information du territoire genevois (ci-après : SITG), de statuer sur le litige en connaissance de cause. Il ne sera donc pas donné suite à ces demandes de mesures d’instruction.</w:t>
      </w:r>
    </w:p>
    <w:p>
      <w:r>
        <w:rPr>
          <w:b/>
        </w:rPr>
        <w:t>E. 4.2</w:t>
      </w:r>
    </w:p>
    <w:p>
      <w:r>
        <w:t>; 129 I 346 consid. 6 ; Vincent MARTENET, Géométrie de l'égalité, 2003, p. 260 ss).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 arrêt du Tribunal fédéral 1C_482/2010 du 14 avril 2011 consid. 5.1 ; ATA/352/2012 du 5 juin 2012 consid. 7).</w:t>
      </w:r>
    </w:p>
    <w:p>
      <w:r>
        <w:rPr>
          <w:b/>
        </w:rPr>
        <w:t>E. 5</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w:t>
      </w:r>
    </w:p>
    <w:p>
      <w:r>
        <w:rPr>
          <w:b/>
        </w:rPr>
        <w:t>E. 6</w:t>
      </w:r>
    </w:p>
    <w:p>
      <w:r>
        <w:t>Les recourants ont dans un premier temps indiqué ignorer que les couverts en bois pour chevaux nécessitaient l’obtention d’une autorisation.</w:t>
      </w:r>
    </w:p>
    <w:p>
      <w:r>
        <w:rPr>
          <w:b/>
        </w:rPr>
        <w:t>E. 7</w:t>
      </w:r>
    </w:p>
    <w:p>
      <w:r>
        <w:t>Aucune construction ou installation ne peut être créée ou transformée sans autorisation de l’autorité compétente (art. 22 al. 1 LAT).</w:t>
      </w:r>
    </w:p>
    <w:p>
      <w:r>
        <w:rPr>
          <w:b/>
        </w:rPr>
        <w:t>E. 8</w:t>
      </w:r>
    </w:p>
    <w:p>
      <w:r>
        <w:t>L’art. 22 LAT soumet l’octroi d’une autorisation de construire aux conditions que la construction ou l’installation soit conforme à l’affectation de la zone et que le terrain soit équipé (al. 2), et réserve les autres conditions posées par le droit fédéral et le droit cantonal (al. 3).</w:t>
      </w:r>
    </w:p>
    <w:p>
      <w:r>
        <w:rPr>
          <w:b/>
        </w:rPr>
        <w:t>E. 9</w:t>
      </w:r>
    </w:p>
    <w:p>
      <w:r>
        <w:t>Selon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 modifier la configuration du terrain (let. d) ; aménager des voies de circulation, des places de parcage ou une issue sur la voir publique (let. e). Aucun travail ne doit être entrepris avant que l’autorisation n'ait été délivrée (art. 1 al. 7 1ère phrase LCI).</w:t>
      </w:r>
    </w:p>
    <w:p>
      <w:r>
        <w:rPr>
          <w:b/>
        </w:rPr>
        <w:t>E. 10</w:t>
      </w:r>
    </w:p>
    <w:p>
      <w:r>
        <w:t>L'art. 1 al. 1 du règlement d'application de la loi sur les constructions et installations diverses du 27 février 1978 (RCI - L 5 05 01) précise que sont réputées constructions ou installations toutes choses immobilières ou mobilières édifiées au-dessus ou au-dessous du sol ainsi que toutes leurs parties intégrantes et accessoires, soit notamment, les murs, clôtures, portails, poulaillers, clapiers, chenils (let. b).</w:t>
      </w:r>
    </w:p>
    <w:p>
      <w:r>
        <w:t>- 7/16 - A/2049/2021</w:t>
      </w:r>
    </w:p>
    <w:p>
      <w:r>
        <w:rPr>
          <w:b/>
        </w:rPr>
        <w:t>E. 11</w:t>
      </w:r>
    </w:p>
    <w:p>
      <w:r>
        <w:t>La jurisprudence définit plus généralement les constructions ou installations comme étant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(ATF 118 Ib 49 consid. 2a ; arrêt du Tribunal fédéral 1C_75/2011 du 5 juillet 2011 consid. 2.1 ; 1A.257/2000 du 2 mai 2001). Les constructions mobilières fixées au sol pour une certaine durée sont aussi comprises dans cette définition (ATF 113 Ib 314 consid. 2 ; ATA/134/2015 consid. 6b)</w:t>
      </w:r>
    </w:p>
    <w:p>
      <w:r>
        <w:rPr>
          <w:b/>
        </w:rPr>
        <w:t>E. 12</w:t>
      </w:r>
    </w:p>
    <w:p>
      <w:r>
        <w:t>La définition jurisprudentielle susmentionnée comporte quatre conditions cumulatives (Piermarco ZEN-RUFFINEN, Christine GUY-ECABERT, Aménagement du territoire, construction, expropriation, 2001, p. 214-218). Tout d'abord, la création par la main de l'homme, excluant toute modification naturelle du terrain. Ensuite, l'aménagement doit revêtir un caractère durable. Contrairement à une construction durable, une construction provisoire peut être enlevée sans frais excessifs et son existence est limitée dans le temps de manière certaine. Ces derniers cas sont très rares. Une construction ou installation est ainsi soumise à autorisation lorsqu'elle est érigée pour une durée provisoire mais indéterminée (RDAF 1990, p.86 consid. 3 in Piermarco ZEN-RUFFINEN, Christine GUY- ECABERT, op. cit., pp. 216). Le Tribunal fédéral a notamment considéré qu'une installation de ski nautique sur un lac, comprenant un slalom et un tremplin, n'étant utilisée que quatre mois par an et devant être enlevée en dehors de cette période, n'avait pas un caractère provisoire (ATF 114 Ib 84 consid. 2). De même, la fixation de feuilles de plastique transparent pour permettre l'utilisation d'une terrasse en cas de pluie a été jugé comme une installation durable au sens de la loi (arrêt du Tribunal fédéral 1P.15/1998 du 11 mars 1998 in Piermarco ZEN- RUFFINEN, Christine GUY-ECABERT, op. cit., pp. 215). Le Tribunal fédéral a également qualifié d'installation soumise à autorisation des projecteurs qui n'étaient pas ancrés au sol mais vissés sur des socles et rapidement démontables (ATF 123 II 259 consid. 3). Il convient encore de tenir compte de la fixation au sol de la construction. À cet égard, le fait qu'un élément ait un caractère mobilier ou puisse être facilement enlevé ou déplacé n'est pas relevant (ATA/61/2011 du 1er février 2011). En effet, le Tribunal fédéral considère que les clôtures en treillis métalliques sont des constructions soumises à autorisation (ATF 118 Ib 49 consid. 2, JdT 1994 I 434). Dans le même sens, le Tribunal administratif, devenu depuis la chambre administrative de la Cour de justice (ci-après : chambre administrative), a considéré que des bacs à fleurs, amovibles et emboîtés les uns dans les autres de manière à former un muret continu, représentaient « une barrière architecturale » modifiant sensiblement la configuration des lieux, pour laquelle un permis de</w:t>
      </w:r>
    </w:p>
    <w:p>
      <w:r>
        <w:t>- 8/16 - A/2049/2021 construire était nécessaire (ATA E. du 28 août 1991). Le Tribunal fédéral, dans son arrêt 1P.663/1991 du 17 février 1992, consid. 2c, estime que cette solution n’est pas arbitraire. Enfin, l'incidence sur l'affectation du sol, en particulier l'impact esthétique sur le paysage, les effets sur l'équipement et l'atteinte à l'environnement au sens large du terme (protection des eaux, de la forêt, de la faune, de la nature et du paysage) doivent être pris en considération pour qualifier un ouvrage de construction ou d'installation.</w:t>
      </w:r>
    </w:p>
    <w:p>
      <w:r>
        <w:rPr>
          <w:b/>
        </w:rPr>
        <w:t>E. 13</w:t>
      </w:r>
    </w:p>
    <w:p>
      <w:r>
        <w:t>L'assujettissement a été également admis pour une roulotte de grandes dimensions destinée à jouer le rôle d'une maison de vacances (ATF 100 Ib 482 consid. 4 p. 488), des clôtures et barrières hors de la zone à bâtir (ATF 118 Ib 49), un jardin d'hiver, une véranda, une cabane de jardin ou un couvert servant de garage (arrêt non publié 1A.92/1993 consid. 2a et les références). Il en va de même pour des aménagements extérieurs tels que des balustrades préfabriquées, des colonnes en pierre ou une terrasse (arrêt du Tribunal fédéral 1A.156/2004 du 5 novembre 2004 consid. 3.3; cf. également les nombreux exemples cités par Bernhard WALDMANN/ Peter HÄNNI, Raumplanungsgesetz, Handkommentar, 2006, n°</w:t>
      </w:r>
    </w:p>
    <w:p>
      <w:r>
        <w:rPr>
          <w:b/>
        </w:rPr>
        <w:t>E. 15</w:t>
      </w:r>
    </w:p>
    <w:p>
      <w:r>
        <w:t>Les recourants estiment qu’il serait possible d’autoriser les constructions érigées, et critiquent le fait que l’autorité intimée ait ordonné leur démolition sans leur accorder de délai pour déposer une demande d’autorisation de construire. Les aménagements rempliraient les conditions des art. 24e LAT et 42b LAT.</w:t>
      </w:r>
    </w:p>
    <w:p>
      <w:r>
        <w:rPr>
          <w:b/>
        </w:rPr>
        <w:t>E. 16</w:t>
      </w:r>
    </w:p>
    <w:p>
      <w:r>
        <w:t>Les zones agricoles servent à garantir la base d'approvisionnement du pays à long terme, à sauvegarder le paysage et les espaces de délassement et à assurer l'équilibre écologique ; elles doivent être maintenues autant que possible libres de</w:t>
      </w:r>
    </w:p>
    <w:p>
      <w:r>
        <w:t>- 9/16 - A/2049/2021 toute construction en raison des différentes fonctions de la zone agricole et comprennent, d'une part, les terrains qui se prêtent à l'exploitation agricole ou à l'horticulture productrice et sont nécessaires à l'accomplissement des différentes tâches dévolues à l'agriculture et, d'autre part, les terrains qui, dans l'intérêt général, doivent être exploités par l'agriculture (art. 16 al. 1 LAT).</w:t>
      </w:r>
    </w:p>
    <w:p>
      <w:r>
        <w:rPr>
          <w:b/>
        </w:rPr>
        <w:t>E. 17</w:t>
      </w:r>
    </w:p>
    <w:p>
      <w:r>
        <w:t>À teneur de l'art. 16a al. 1 LAT, sont conformes à l'affectation de la zone agricole les constructions ou installations qui sont nécessaires à l'exploitation agricole ou à l'horticulture productrice ; seules les constructions dont la destination correspond à la vocation agricole du sol peuvent y être autorisées, le sol devant être le facteur de production primaire et indispensable (ATF 133 II 370 consid. 4.2 ; 129 II 413 consid. 3.1 ; 125 II 278 consid. 3a et les arrêts cités ; arrêts du Tribunal fédéral 1C_314/2009 du 12 juillet 2010 consid. 5.1 ; 1C_72/2009 du 15 décembre 2009 consid. 2.1). L'art. 34 al. 1 OAT reprend cette définition en précisant que sont conformes à l’affectation de la zone agricole les constructions et installations qui servent à l’exploitation tributaire du sol ou au développement interne.</w:t>
      </w:r>
    </w:p>
    <w:p>
      <w:r>
        <w:rPr>
          <w:b/>
        </w:rPr>
        <w:t>E. 18</w:t>
      </w:r>
    </w:p>
    <w:p>
      <w:r>
        <w:t>À Genève, ne sont autorisées en zone agricole que les constructions et installations qui sont destinées durablement à l'activité agricole ou horticole et aux personnes l’exerçant à titre principal (art. 20 al. 1 let. a LaLAT) et qui respectent la nature et le paysage (art. 20 al. 1 let. b LaLAT) ainsi que les conditions fixées par les art. 34 ss OAT (art. 20 al. 1 let. c LaLAT).</w:t>
      </w:r>
    </w:p>
    <w:p>
      <w:r>
        <w:rPr>
          <w:b/>
        </w:rPr>
        <w:t>E. 19</w:t>
      </w:r>
    </w:p>
    <w:p>
      <w:r>
        <w:t>L'art. 16abis LAT, en vigueur depuis le 1er mai 2014, précise que les constructions et installations nécessaires à la détention de chevaux sont conformes à l'affectation de la zone et autorisées dans une entreprise agricole existante au sens de la loi fédérale du 4 octobre 1991 sur le droit foncier rural si l'entreprise dispose de pâturages et d'une base fourragère provenant majoritairement de l'exploitation (al. 1). Des places à sol ferme peuvent être autorisées pour l'utilisation des chevaux détenus dans l'exploitation (al. 2). Les installations directement liées à l'utilisation des chevaux telles que les selleries ou les vestiaires sont autorisées (al 3). Le Conseil fédéral règle les modalités (al. 4). Les constructions et installations qui servent à l'agriculture pratiquée en tant que loisir ne sont pas réputées conformes à l'affectation de la zone agricole (art. 34 al. 5 OAT)</w:t>
      </w:r>
    </w:p>
    <w:p>
      <w:r>
        <w:rPr>
          <w:b/>
        </w:rPr>
        <w:t>E. 20</w:t>
      </w:r>
    </w:p>
    <w:p>
      <w:r>
        <w:t>Selon l’art. 24e al. 1 LAT, les travaux de transformation sont autorisés dans les bâtiments et parties de bâtiments inhabités et conservés dans leur substance s’ils permettent aux personnes qui habitent à proximité d’y détenir des animaux à titre de loisir dans des conditions respectueuses. Dans le cadre de cette disposition, de nouvelles installations extérieures sont autorisées dans la mesure où la détention convenable des animaux l’exige. Afin d’assurer une détention respectueuse des animaux, ces installations peuvent</w:t>
      </w:r>
    </w:p>
    <w:p>
      <w:r>
        <w:t>- 10/16 - A/2049/2021 excéder les dimensions minimales prévues par la loi pour autant que les exigences majeures de l’aména­gement du territoire soient respectées et que l’installation en question soit construite de manière réversible (art. 24e al. 2 LAT). Le Conseil fédéral fixe les modalités (art. 24e al. 5 LAT) L’art. 42b al. 5 OAT règle les modalités d’applications de la norme précitée et dispose que sont considérées comme des installations extérieures les installations qui sont nécessaires pour une détention convenable des animaux et qui ne sont ni couvertes ni entourées de parois, telles que des aires de sortie ou des aires à fumier ou des clôtures mais que des terrains d’équitation, ou d’exercice ou des abris de pâturages n’en font pas parties.</w:t>
      </w:r>
    </w:p>
    <w:p>
      <w:r>
        <w:rPr>
          <w:b/>
        </w:rPr>
        <w:t>E. 21</w:t>
      </w:r>
    </w:p>
    <w:p>
      <w:r>
        <w:t>En l'occurrence, les constructions litigieuses sont destinées à la garde de chevaux pratiquée en tant que loisir. Les différentes constructions et installations à l'origine du litige servent à la détention de ces chevaux de loisir. Les recourants n’exercent ni la profession d’éleveurs ou d’agriculteurs. Par conséquent, quand bien même les constructions concernées, tout comme le tas de fumier, sont certainement nécessaires pour la garde de chevaux, elles ne peuvent en l’état être autorisées en zone agricole. Les dispositions légales citées par les recourants ne sont pas applicables, dès lors que les installations litigieuses n’en remplissent pas les conditions. En effet, le cas d’espèce ne concerne pas la transformation de bâtiments existants, visée par l’art. 24e al. 1 LAT, mais bien l’édification de deux couverts, et les boxes, couverts et entourés de parois, ne répondent pas à la définition d’installations extérieures selon les art. 24e al. 2 et 5, ainsi que 42b al. 5 LAT, qui précisent que sont considérées comme installations extérieures celles qui ne sont ni couvertes ni entourées de parois. Les abris de pâturages n’en font pas partie. Ceci découle des dispositions légales précitées et n'a aucun lien avec les caractéristiques des constructions elles-mêmes, de sorte que l'instruction d'une procédure d'autorisation aurait été superfétatoire, comme indiqué par le département et n'avait pas à être menée avant que l'ordre de démolition ne soit prononcé. Partant, il n’était pas prématuré d’ordonner la remise en état sans octroyer de délai aux recourants pour déposer une demande d’autorisation de construire. Le tribunal soulignera à toutes fins utiles que les barrières délimitant l’enclos des chevaux ne sont pas visées par la décision querellée, selon les termes de celle-ci et les précisions apportées en cours de procédure par le département.</w:t>
      </w:r>
    </w:p>
    <w:p>
      <w:r>
        <w:rPr>
          <w:b/>
        </w:rPr>
        <w:t>E. 22</w:t>
      </w:r>
    </w:p>
    <w:p>
      <w:r>
        <w:t>Il convient maintenant d’examiner si c’est à bon droit que l’autorité intimée a ordonné la démolition et l’évacuation du couvert litigieux, du fumier et le rétablissement du terrain naturel.</w:t>
      </w:r>
    </w:p>
    <w:p>
      <w:r>
        <w:t>- 11/16 - A/2049/2021</w:t>
      </w:r>
    </w:p>
    <w:p>
      <w:r>
        <w:rPr>
          <w:b/>
        </w:rPr>
        <w:t>E. 23</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département en application des art. 129 et 130 LCI (art. 131 LCI).</w:t>
      </w:r>
    </w:p>
    <w:p>
      <w:r>
        <w:rPr>
          <w:b/>
        </w:rPr>
        <w:t>E. 24</w:t>
      </w:r>
    </w:p>
    <w:p>
      <w:r>
        <w:t>De jurisprudence constante (ATA/463/2021 du 27 avril 2021 consid. 5b ; ATA/349/2021 du 23 mars 2021 consid. 7 ; ATA/330/2021 du 16 mars 2021 consid. 3c), pour être valable, un ordre de mise en conformité doit respecter cinq conditions. Premièrement, l'ordre doit être dirigé contre le perturbateur, par comportement ou par situation. Les installations en cause ne doivent ensuite pas avoir été autorisées en vertu du droit en vigueur au moment de leur réalisation. Un délai de plus de trente ans ne doit pas s'être écoulé depuis l'exécution des travaux litigieux pour la zone à bâtir. La situation diffère hors de la zone à bâtir, puisque depuis avril 2021, le Tribunal fédéral a renoncé à appliquer aux constructions illégales situées en zone agricole le délai de péremption de trente ans, à l’échéance duquel l’État ne peut plus exiger la démolition d’une installation pour rétablir une situation conforme au droit (arrêt 1C_469/2019 du 28 avril 2021).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de l'intéressé au maintien des installations litigieuses.</w:t>
      </w:r>
    </w:p>
    <w:p>
      <w:r>
        <w:rPr>
          <w:b/>
        </w:rPr>
        <w:t>E. 25</w:t>
      </w:r>
    </w:p>
    <w:p>
      <w:r>
        <w:t>Dans un arrêt récent, le Tribunal fédéral a précisé qu'à l'inverse de ce qui prévaut pour les zones à bâtir, l'obligation de rétablir un état conforme au droit ne s'éteignait pas après trente ans s'agissant de bâtiments et installations érigés illégalement en dehors de la zone à bâtir (arrêt 1C_469/2019 précité consid. 4 et 5).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des zones à bâtir des zones non constructibles, ne doit pas se poursuivre indéfiniment sur la base du simple écoulement du temps (arrêts 1C_60/2021 du 27 juillet 2021 consid. 3.2.1 ; 1C_469/2019 précité consid. 5.5 et 5.6).</w:t>
      </w:r>
    </w:p>
    <w:p>
      <w:r>
        <w:rPr>
          <w:b/>
        </w:rPr>
        <w:t>E. 26</w:t>
      </w:r>
    </w:p>
    <w:p>
      <w:r>
        <w:t>En l’espèce, les quatre premières conditions nécessaires à la validité d’un ordre de mise en conformité sont réalisées.</w:t>
      </w:r>
    </w:p>
    <w:p>
      <w:r>
        <w:t>- 12/16 - A/2049/2021 L’ordre est dirigé contre le perturbateur, soit les recourants, propriétaires des deux couverts sur leur parcelle. Les couverts et le fumier se trouvent en zone agricole de sorte que la prescription trentenaire ne leur est pas applicable, ce que les recourants n’invoquent d’ailleurs pas, et ont été érigés sans autorisation, ce qui n’est pas contesté. L'autorité intimée n’a en outre pas créé, par des promesses, des informations, des assurances ou un comportement, des conditions telles qu'elle serait liée par la bonne foi.</w:t>
      </w:r>
    </w:p>
    <w:p>
      <w:r>
        <w:rPr>
          <w:b/>
        </w:rPr>
        <w:t>E. 27</w:t>
      </w:r>
    </w:p>
    <w:p>
      <w:r>
        <w:t>Ne reste qu’à déterminer si l’intérêt privé des recourants pourrait l’emporter sur l’intérêt public au rétablissement d’une situation conforme au droit.</w:t>
      </w:r>
    </w:p>
    <w:p>
      <w:r>
        <w:rPr>
          <w:b/>
        </w:rPr>
        <w:t>E. 28</w:t>
      </w:r>
    </w:p>
    <w:p>
      <w:r>
        <w:t>Le principe de la proportionnalité, garanti par les art. 5 al. 2 et 36 al. 3 Cst., exige qu'une mesure restrictive soit apte à produire les résultats escomptés et que ceux- ci ne puissent être atteints par une mesure moins incisive. En outre, il interdit toute limitation allant au-delà du but visé et exige un rapport raisonnable entre celui-ci et les intérêts publics ou privés compromis (ATF 126 I 219 consid. 2c et les références citées). Les critères de l'aptitude et de la subsidiarité sont particulièrement concernés lorsqu'un ordre de démolition est envisagé. Ils impliquent en effet de déterminer si une - ou plusieurs - autre mesure administrative pourrait être préférée, cas échéant en combinaison (ATA/463/2021 du 27 avril 2021).</w:t>
      </w:r>
    </w:p>
    <w:p>
      <w:r>
        <w:rPr>
          <w:b/>
        </w:rPr>
        <w:t>E. 29</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(Message du Conseil fédéral du 20 janvier 2010 relatif à une révision partielle de la LAT, FF 2010 964 ch. 1.2.1, et 973 ch. 2.1 ; arrêts 1C_60/2021 du 27 juillet 2021 consid. 3.1 ; 1C_469/2019 du 28 avril 2021 consid. 5.5.). Cette séparation doit par conséquent, en dehors des exceptions prévues la loi, demeurer d'application stricte (ATF 132 II 21 consid. 6.4). S'ajoute à cela que la remise en état poursuit encore d'autres intérêts publics, à savoir la limitation du nombre et dimensions des constructions en zone agricole, ainsi que le respect du principe de l'égalité devant la loi (ATF 132 II 21 consid. 6.4 ; arrêts 1C_60/2021 précité consid. 3.1; 1C_76/2019 du 28 février 2020 consid. 7.1 et les références citées).</w:t>
      </w:r>
    </w:p>
    <w:p>
      <w:r>
        <w:rPr>
          <w:b/>
        </w:rPr>
        <w:t>E. 30</w:t>
      </w:r>
    </w:p>
    <w:p>
      <w:r>
        <w:t>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Le postulat selon lequel le respect du principe de la proportionnalité s'impose même envers un administré de mauvaise foi est</w:t>
      </w:r>
    </w:p>
    <w:p>
      <w:r>
        <w:t>- 13/16 - A/2049/2021 relativisé, voire annihilé, par l'idée que le constructeur qui place l'autorité devant le fait accompli doit s'attendre à ce que cette dernière se préoccupe davantage de rétablir une situation conforme au droit que des inconvénients qui en découlent pour lui (arrêt 1C_60/2021 précité consid. 3.1 ; ATF 123 II 248 consid. 4a; Nicolas WISARD/Samuel BRÜCKNER/Milena PIREK, op. cit, p. 218).</w:t>
      </w:r>
    </w:p>
    <w:p>
      <w:r>
        <w:rPr>
          <w:b/>
        </w:rPr>
        <w:t>E. 31</w:t>
      </w:r>
    </w:p>
    <w:p>
      <w:r>
        <w:t>De manière générale dans l'examen de la proportionnalité, les intérêts des propriétaires sont, à juste titre, mis en retrait par rapport à l'importance de préserver la zone agricole d'installations qui n'y ont pas leur place. Le Tribunal fédéral a déjà énoncé concernant le canton de Genève, que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 consid. 5.1.1 et les références citées ; ATA/1370/2018 du 18 décembre 2018 consid. 10 ; ATA/303/2016 du 12 avril 2016 consid. 9). Sous l'angle de la proportionnalité, on peut prendre en compte le fait que les frais de démolition et de remise en état des lieux engendreraient des charges excessives que l'intéressé ne serait pas en mesure de prendre en charge (arrêts du Tribunal fédéral 1C_370/2015 du 16 février 2016 consid. 4.4 ; 1C_537/2011 du 26 avril 2012). Néanmoins, un intérêt purement économique ne saurait avoir le pas sur l'intérêt public au rétablissement d'une situation conforme au droit (arrêt du Tribunal fédéral 1C_544/2014 du 1er avril 2015 consid. 4.2).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w:t>
      </w:r>
    </w:p>
    <w:p>
      <w:r>
        <w:rPr>
          <w:b/>
        </w:rPr>
        <w:t>E. 32</w:t>
      </w:r>
    </w:p>
    <w:p>
      <w:r>
        <w:t>En l’espèce, les recourants considèrent que la démolition n’est pas justifiée au regard du faible impact de leurs couverts par rapport aux installations voisines et de la nécessité des constructions litigieuses pour la garde de leurs chevaux, en vertu des normes de protection des animaux. Tout d'abord, il faut observer que les constructions en cause ne constituent pas des dérogations mineures à l'interdiction d'ériger des constructions en zone agricole. Il n'est pas ici question d'un très léger agrandissement d'une construction existante, mais de l’installation sur leur parcelle de deux nouvelles constructions. S’agissant du fumier, stocké avant d’être répandu sur la parcelle, son impact est également important notamment au regard de la protection du paysage et des eaux.</w:t>
      </w:r>
    </w:p>
    <w:p>
      <w:r>
        <w:t>- 14/16 - A/2049/2021 L'intérêt public à la démolition consiste dans le fait de respecter strictement la zone agricole, laquelle fait régulièrement l'objet de nouvelles constructions non conformes et seule l’élimination stricte de ces dernières permet la préservation durable de cette zone. Face à cet intérêt, celui des recourants est un intérêt de convenance personnelle. La garde de chevaux pratiquée en tant que loisir peut et doit être menée sur des terrains où cette activité est conforme à la zone. L'intérêt privé des recourants à maintenir ces différentes constructions et installations de détention de chevaux dans des buts personnels et de loisir ne saurait l'emporter sur cet intérêt public, étant précisé qu’ils ont placé l'autorité devant le fait accompli. Le fait que les constructions litigieuses soient nécessaires au bien-être des chevaux ne peut l'emporter, pour les raisons qui viennent d'être exposées, sur la nécessité de préserver la zone agricole. Cas échéant, les chevaux devront être détenus ailleurs, comme c’était le cas avant leur installation sur la parcelle en question. La proposition de déplacer les abris à côté de l’atelier existant ne change pas le raisonnement mentionné supra. Autre serait l’analyse si les recourants envisageaient de transformer l’atelier de 42 m2 présent sur leur parcelle en écurie ou en abri en vue de détenir leurs chevaux sur leur terrain. S'agissant de la remise en état du terrain naturel, on ne voit pas quelle mesure moins incisive permettrait de protéger les intérêts publics compromis et remédier à l'atteinte portée au sol. Les recourants ne démontrent pas que la remise en état consistant à restituer la parcelle à son état d'origine serait impossible ou qu'elle entraînerait des surcoûts disproportionnés, étant souligné que les abris sont tractables pour le surplus. L'approche restrictive du Tribunal fédéral s'agissant du principe de séparation entre l'espace bâti et l'espace non bâti devait demeurer d'application stricte a encore été confirmée dans l'arrêt 1C_469/2019 précité qui écarte l'application de la prescription trentenaire en zone agricole. Partant, l'ordre de remise en état du département est justifié.</w:t>
      </w:r>
    </w:p>
    <w:p>
      <w:r>
        <w:rPr>
          <w:b/>
        </w:rPr>
        <w:t>E. 33</w:t>
      </w:r>
    </w:p>
    <w:p>
      <w:r>
        <w:t>Les recourants semblent enfin se plaindre d’inégalité de traitement, car leurs parcelles seraient entourées de parcs pour chevaux et bovins et d’installations équestres.</w:t>
      </w:r>
    </w:p>
    <w:p>
      <w:r>
        <w:rPr>
          <w:b/>
        </w:rPr>
        <w:t>E. 34</w:t>
      </w:r>
    </w:p>
    <w:p>
      <w:r>
        <w:t>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w:t>
      </w:r>
    </w:p>
    <w:p>
      <w:r>
        <w:t>- 15/16 - A/2049/2021 recevoir une réponse différente selon les époques et suivant les conceptions, idéologies et situations du moment (ATF 138 V 176 consid. 8.2 ; 131 I 1 consid.</w:t>
      </w:r>
    </w:p>
    <w:p>
      <w:r>
        <w:rPr>
          <w:b/>
        </w:rPr>
        <w:t>E. 35</w:t>
      </w:r>
    </w:p>
    <w:p>
      <w:r>
        <w:t>En l'espèce, aucune preuve n'est apportée à l'appui de ce grief et rien n'indique que l'autorité n'ait pas respecté la loi selon une pratique constante, ni qu’elle entende ne pas faire respecter la loi, en vue de faire primer la protection de la zone agricole, qui est l’intérêt public en cause. Dans ces circonstances, ce grief sera écarté.</w:t>
      </w:r>
    </w:p>
    <w:p>
      <w:r>
        <w:rPr>
          <w:b/>
        </w:rPr>
        <w:t>E. 36</w:t>
      </w:r>
    </w:p>
    <w:p>
      <w:r>
        <w:t>Entièrement mal fondé, le recours doit être rejeté.</w:t>
      </w:r>
    </w:p>
    <w:p>
      <w:r>
        <w:rPr>
          <w:b/>
        </w:rPr>
        <w:t>E. 37</w:t>
      </w:r>
    </w:p>
    <w:p>
      <w:r>
        <w:t>En application des art. 87 al. 1 LPA et 1 et 2 du règlement sur les frais, émoluments et indemnités en procédure administrative du 30 juillet 1986 (RFPA - E 5 10.03), les recourants sont condamnés au paiement d’un émolument s'élevant à CHF 900.- ; il est couvert par l’avance de frais versée à la suite du dépôt du recours.</w:t>
      </w:r>
    </w:p>
    <w:p>
      <w:r>
        <w:rPr>
          <w:b/>
        </w:rPr>
        <w:t>E. 38</w:t>
      </w:r>
    </w:p>
    <w:p>
      <w:r>
        <w:t>Vu l’issue du litige, aucune indemnité de procédure ne sera allouée (art. 87 al. 2 LPA).</w:t>
      </w:r>
    </w:p>
    <w:p>
      <w:r>
        <w:t>- 16/16 - A/2049/2021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