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JTAPI/164/2023 vom 9. Februar 2023</w:t>
      </w:r>
    </w:p>
    <w:p>
      <w:r>
        <w:t>GE Cour de justice, 2023-02-09, FR</w:t>
      </w:r>
    </w:p>
    <w:p>
      <w:r>
        <w:rPr>
          <w:b/>
        </w:rPr>
        <w:t xml:space="preserve">Quelle: </w:t>
      </w:r>
      <w:r>
        <w:t>https://mcp.opencaselaw.ch/entscheid/ge_gerichte_JTAPI_164_2023</w:t>
      </w:r>
    </w:p>
    <w:p>
      <w:r>
        <w:t>FR: GE_GERICHTE JTAPI/164/2023 du 9 février 2023</w:t>
      </w:r>
    </w:p>
    <w:p>
      <w:r>
        <w:t>IT: GE_GERICHTE JTAPI/164/2023 del 9 febbraio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les recourants sollicitent le prononcé d'une expertise judiciaire tendant à vérifier le respect des normes applicables et en particulier l'exactitude des calculs effectués par la constructrice. Elles demandent également que la constructrice soit interpellée afin qu'elle démontre que la puissance émettrice de l'installation litigieuse ne pourra pas être augmentée à l'avenir et qu'elle respectera ainsi les exigences en matière de contrôle à long terme du respect des valeurs limite.</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En l'espèce, pour que le tribunal ordonne une expertise judiciaire visant en particulier à vérifier l'exactitude des calculs effectués par l'intimée, il conviendrait que des indices permettent de douter de cette exactitude. À défaut de tels doutes, il n'est en effet pas possible de remettre en question par la voie d'expertise judiciaire, par principe, l'ensemble des décisions de nature technique soumises au contrôle des tribunaux. Or, les recourants ne présentent aucun élément permettant en l'occurrence de douter de l'exactitude de ces calculs. Il n'y a donc pas lieu de prononcer l'expertise requise. Quant au fait que l'intimée devrait démontrer qu'elle respectera à l'avenir les valeurs limite, on voit mal comment elle pourrait apporter une telle preuve et les recourantes ne s'en expliquent pas non plus. Comme on le verra plus bas (consid. 21), l'examen de la légalité d'une autorisation de construire se fonde sur l'objet tel qu'il est autorisé, en partant de l'idée qu'il sera construit conformément à l'autorisation et exploité pareillement.</w:t>
      </w:r>
    </w:p>
    <w:p>
      <w:r>
        <w:t>- 7/10 - A/1532/2022</w:t>
      </w:r>
    </w:p>
    <w:p>
      <w:r>
        <w:rPr>
          <w:b/>
        </w:rPr>
        <w:t>E. 6</w:t>
      </w:r>
    </w:p>
    <w:p>
      <w:r>
        <w:t>Par conséquent, il n'y a pas lieu de procéder aux mesures d'instruction requises.</w:t>
      </w:r>
    </w:p>
    <w:p>
      <w:r>
        <w:rPr>
          <w:b/>
        </w:rPr>
        <w:t>E. 7</w:t>
      </w:r>
    </w:p>
    <w:p>
      <w:r>
        <w:t>Sur le fond, les recourantes font tout d'abord valoir un grief de nature formelle lié à la violation de leur droit d'être entendu, dont le contenu a été rappelé ci-dessus.</w:t>
      </w:r>
    </w:p>
    <w:p>
      <w:r>
        <w:rPr>
          <w:b/>
        </w:rPr>
        <w:t>E. 8</w:t>
      </w:r>
    </w:p>
    <w:p>
      <w:r>
        <w:t>Selon l'art. 3 LCI, toutes les demandes d’autorisation sont rendues publiques par une insertion dans la Feuille d’avis officielle. Il est fait mention, le cas échéant, des dérogations nécessaires (al. 1). Pendant un délai de 30 jours à compter de la publication, chacun peut consulter les demandes d’autorisation et les plans au département et lui transmettre ses observations par une déclaration écrite (al. 2).</w:t>
      </w:r>
    </w:p>
    <w:p>
      <w:r>
        <w:rPr>
          <w:b/>
        </w:rPr>
        <w:t>E. 9</w:t>
      </w:r>
    </w:p>
    <w:p>
      <w:r>
        <w:t>En l'occurrence, la requête relative au projet querellé a été publiée dans la feuille d'avis officielle du 13 juillet 2021. Par conséquent, les recourants ont été dûment informés, selon les modalités prévues par la loi, du dépôt de la requête, de la possibilité de consulter le dossier de cette dernière et enfin et de la possibilité d'adresser des observations au département dans un délai de 30 jours. Il ne découle ni du droit d'être entendu au sens de l'art. 29 al. 2 Cst., ni des dispositions précitées de la LCI, qu'en sus, il eût appartenu au département d'organiser des séances d'information. Certes, l'art. 15 al. 1 du règlement sur la protection contre le rayonnement non ionisant des installations stationnaires du 29 septembre 1999 (RPRNI – K 1 70.07) prévoit que les habitants concernés vivant au voisinage sont informées, de manière appropriée, par l'exploitant ou le propriétaire de la mise en place d'installations stationnaires de téléphonie mobile et des modifications apportées à des installations existantes, sur l'immeuble. Il convient cependant de souligner que cette obligation incombe à l'exploitant ou au propriétaire, et non à l'autorité qui rend la décision d'autorisation.</w:t>
      </w:r>
    </w:p>
    <w:p>
      <w:r>
        <w:rPr>
          <w:b/>
        </w:rPr>
        <w:t>E. 10</w:t>
      </w:r>
    </w:p>
    <w:p>
      <w:r>
        <w:t>Par conséquent, en tant qu'il est dirigé contre cette décision, le grief de violation du droit d'être entendu s'avère infondé et sera rejeté.</w:t>
      </w:r>
    </w:p>
    <w:p>
      <w:r>
        <w:rPr>
          <w:b/>
        </w:rPr>
        <w:t>E. 11</w:t>
      </w:r>
    </w:p>
    <w:p>
      <w:r>
        <w:t>Les recourants se plaignent ensuite d'une violation de l'obligation de planifier. Se contentant d'exposer les raisons pour lesquelles une telle planification serait à leur avis nécessaire (c'est-à-dire en raison d'une prolifération désordonnée des installations de téléphonie mobile), ils n'exposent pas quelles seraient les bases légales dont elles prétendent tirer une telle obligation.</w:t>
      </w:r>
    </w:p>
    <w:p>
      <w:r>
        <w:rPr>
          <w:b/>
        </w:rPr>
        <w:t>E. 12</w:t>
      </w:r>
    </w:p>
    <w:p>
      <w:r>
        <w:t>Il découle en revanche de la jurisprudence du Tribunal fédéral, citée par les parties intimées, que les installations de communication mobile n'ont en principe pas besoin de faire l'objet d'une planification spéciale, en particulier lorsqu'elles sont érigées en zone constructible (ATF 142 I 26 consid. 4.2; ATF 138 II 173 consid. 5).</w:t>
      </w:r>
    </w:p>
    <w:p>
      <w:r>
        <w:rPr>
          <w:b/>
        </w:rPr>
        <w:t>E. 13</w:t>
      </w:r>
    </w:p>
    <w:p>
      <w:r>
        <w:t>Il en découle que ce grief est lui aussi infondé et qu'il devra être rejeté.</w:t>
      </w:r>
    </w:p>
    <w:p>
      <w:r>
        <w:t>- 8/10 - A/1532/2022</w:t>
      </w:r>
    </w:p>
    <w:p>
      <w:r>
        <w:rPr>
          <w:b/>
        </w:rPr>
        <w:t>E. 14</w:t>
      </w:r>
    </w:p>
    <w:p>
      <w:r>
        <w:t>Les recourants se plaignent ensuite d'une violation du principe de précaution.</w:t>
      </w:r>
    </w:p>
    <w:p>
      <w:r>
        <w:rPr>
          <w:b/>
        </w:rPr>
        <w:t>E. 15</w:t>
      </w:r>
    </w:p>
    <w:p>
      <w:r>
        <w:t>La Confédération veille à prévenir les atteintes nuisibles ou incommodantes pour l'être humain et son environnement naturel (art. 74 al. 2 de la Constitution fédérale de la Confédération suisse du 18 avril 1999 - Cst. - RS 101). Comme déjà mentionné, les atteintes qui pourraient devenir nuisibles ou incommodantes seront réduites à titre préventif et assez tôt (art. 1 al. 2 LPE).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valeurs limites spécifiées dans l'ordonnance sur la protection contre le rayonnement non ionisant du 23 décembre 1999 (ORNI - RS 814.710)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 De jurisprudence constante, le principe de prévention est réputé respecté en cas de conformité de la VLInst dans les lieux à utilisation sensible où cette valeur s'applique (ATF 126 II 399 consid. 3c ; ATF 133 II 64 consid. 5.2 ; arrêt 1A.68/2005 du 26 janvier 2006 consid. 3.2 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valeurs limites devraient être modifiées (arrêts du Tribunal fédéral 1C_375/2020 du 5 mai 2021 consid. 3.2.5 ; 1C_518/2018 du 14 avril 2020 ; 1C_348/2017 du 21 février 2018 consid. 4.3 ; 1C_323/2017 du 15 janvier 2018 consid. 2.5).</w:t>
      </w:r>
    </w:p>
    <w:p>
      <w:r>
        <w:rPr>
          <w:b/>
        </w:rPr>
        <w:t>E. 16</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(DETEC, Rapport « Téléphonie mobile et rayonnement » du 18 novembre 2019, p. 8-9).</w:t>
      </w:r>
    </w:p>
    <w:p>
      <w:r>
        <w:t>- 9/10 - A/1532/2022</w:t>
      </w:r>
    </w:p>
    <w:p>
      <w:r>
        <w:rPr>
          <w:b/>
        </w:rPr>
        <w:t>E. 17</w:t>
      </w:r>
    </w:p>
    <w:p>
      <w:r>
        <w:t>Il en découle qu'en l'état actuel des connaissances scientifiques, il n'est pas possible d'invoquer le principe de prévention pour s'opposer à la technologie 5G, dès lors que les valeurs-limites prévues par l'ORNI sont concrètement respectées (ATA/415/2022 du 26 avril 2022 consid. 6).</w:t>
      </w:r>
    </w:p>
    <w:p>
      <w:r>
        <w:rPr>
          <w:b/>
        </w:rPr>
        <w:t>E. 18</w:t>
      </w:r>
    </w:p>
    <w:p>
      <w:r>
        <w:t>En conséquence de ce qui précède, le grief de violation du principe de prévention devra lui aussi être rejeté.</w:t>
      </w:r>
    </w:p>
    <w:p>
      <w:r>
        <w:rPr>
          <w:b/>
        </w:rPr>
        <w:t>E. 19</w:t>
      </w:r>
    </w:p>
    <w:p>
      <w:r>
        <w:t>Le grief des recourants sur le fait que le rapport explicatif de l'OFEV de février 2021 entraînerait en réalité une modification de l'ORNI tombe à faux, puisque comme les recourants le relèvent eux-mêmes, l'ORNI a fait l'objet de modifications entrées en vigueur le 1er janvier 2022 (ch. 63 et 64 de l'Annexe I). En tant que norme de nature technique actualisée en fonction de l'état des connaissances scientifiques, l'ORNI intègre les évolutions liées à la 5G en les soumettant au principe de prévention, ainsi que cela résulte de la jurisprudence susmentionnée du Tribunal fédéral. Par conséquent, ce grief doit lui aussi être rejeté.</w:t>
      </w:r>
    </w:p>
    <w:p>
      <w:r>
        <w:rPr>
          <w:b/>
        </w:rPr>
        <w:t>E. 20</w:t>
      </w:r>
    </w:p>
    <w:p>
      <w:r>
        <w:t>Les recourants se plaignent pour finir de l'absence d'un système d'assurance qualité et de contrôle des valeurs limite sur le long terme. En réalité, pour fonder ce grief, les recourants font un procès d'intention à la bénéficiaire de l'autorisation de construire, partant apparemment de l'idée qu'elle ne respectera pas les conditions posées par la décision litigieuse, lesquels reprennent celles du SABRA et imposent précisément à l'intimée, à la fois d'intégrer l'installation litigieuse dans son système d'assurance qualité et de contrôler les valeurs limite sur le long terme.</w:t>
      </w:r>
    </w:p>
    <w:p>
      <w:r>
        <w:rPr>
          <w:b/>
        </w:rPr>
        <w:t>E. 21</w:t>
      </w:r>
    </w:p>
    <w:p>
      <w:r>
        <w:t>Le tribunal ne peut examiner un grief qui se fonde uniquement sur l'hypothèse que l'autorisation en cause ne sera pas respectée (ATA/62/2020 du 21 janvier 2020 consid. 3). Par conséquent, ce grief sera lui aussi rejeté.</w:t>
      </w:r>
    </w:p>
    <w:p>
      <w:r>
        <w:rPr>
          <w:b/>
        </w:rPr>
        <w:t>E. 22</w:t>
      </w:r>
    </w:p>
    <w:p>
      <w:r>
        <w:t>Intégralement non fondé, le recours sera rejeté.</w:t>
      </w:r>
    </w:p>
    <w:p>
      <w:r>
        <w:rPr>
          <w:b/>
        </w:rPr>
        <w:t>E. 23</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600.- ; il est couvert par l’avance de frais de CHF 900.- versée à la suite du dépôt du recours.</w:t>
      </w:r>
    </w:p>
    <w:p>
      <w:r>
        <w:rPr>
          <w:b/>
        </w:rPr>
        <w:t>E. 24</w:t>
      </w:r>
    </w:p>
    <w:p>
      <w:r>
        <w:t>Le solde de l'avance de frais, soit CHF 300.-, sera restitué aux recourants.</w:t>
      </w:r>
    </w:p>
    <w:p>
      <w:r>
        <w:rPr>
          <w:b/>
        </w:rPr>
        <w:t>E. 25</w:t>
      </w:r>
    </w:p>
    <w:p>
      <w:r>
        <w:t>Vu l'issue du litige, une indemnité de procédure de CHF 1'000.-, à la charge des recourants, pris solidairement, sera allouée à D______ SA (art. 87 al. 2 à 4 LPA et 6 RFPA).</w:t>
      </w:r>
    </w:p>
    <w:p>
      <w:r>
        <w:t>- 10/10 - A/1532/2022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