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JTAPI/163/2025 vom 11. Februar 2025</w:t>
      </w:r>
    </w:p>
    <w:p>
      <w:r>
        <w:t>GE Cour de justice, 2025-02-11, FR</w:t>
      </w:r>
    </w:p>
    <w:p>
      <w:r>
        <w:rPr>
          <w:b/>
        </w:rPr>
        <w:t xml:space="preserve">Quelle: </w:t>
      </w:r>
      <w:r>
        <w:t>https://mcp.opencaselaw.ch/entscheid/ge_gerichte_JTAPI_163_2025</w:t>
      </w:r>
    </w:p>
    <w:p>
      <w:r>
        <w:t>FR: GE_GERICHTE JTAPI/163/2025 du 11 février 2025</w:t>
      </w:r>
    </w:p>
    <w:p>
      <w:r>
        <w:t>IT: GE_GERICHTE JTAPI/163/2025 del 11 febbraio 2025</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96 heures prévu par les art. 80 al. 2 LEI et 9 al. 3 LaLEtr, la détention administrative de M. A______ ayant concrètement débuté le 10 décembre 2025 à 13h00, comme l’indique le procès-verbal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w:t>
      </w:r>
    </w:p>
    <w:p>
      <w:r>
        <w:t>- 4/8 - A/432/2025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la remise de l'intéressé aux autorités italiennes au poste frontière de Chiasso est planifiée pour le 12 février 2025.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L'art. 76 al. 1 let. b ch. 1 LEI, renvoyant à l'art 75 al. 1 let. h de cette même loi, dispose qu'une mesure de détention administrative peut être ordonnée si une décision de première instance de renvoi ou d'expulsion a été notifiée à l'intéressé et que celui-ci a été condamné pour crime, par quoi il faut entendre une infraction passible d'une peine privative de liberté de plus de trois ans (cf. art. 10 al. 2 CP ;</w:t>
      </w:r>
    </w:p>
    <w:p>
      <w:r>
        <w:t>- 5/8 - A/432/2025 ATA/220/2018 du 8 mars 2018 consid. 4a ; ATA/997/2016 du 23 novembre 2016 consid. 4a ; ATA/295/2011 du 12 mai 2011 consid. 4).</w:t>
      </w:r>
    </w:p>
    <w:p>
      <w:r>
        <w:rPr>
          <w:b/>
        </w:rPr>
        <w:t>E. 9</w:t>
      </w:r>
    </w:p>
    <w:p>
      <w:r>
        <w:t>Une mise en détention administrative est aussi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10</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11</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12</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w:t>
      </w:r>
    </w:p>
    <w:p>
      <w:r>
        <w:rPr>
          <w:b/>
        </w:rPr>
        <w:t>E. 16</w:t>
      </w:r>
    </w:p>
    <w:p>
      <w:r>
        <w:t>En l'espèce, l'autorité chargée du renvoi a agi avec diligence et célérité, dès lors qu'elle a immédiatement procédé aux démarches visant à permettre le renvoi de M. A______ dans son pays d'origine, lequel pourra avoir lieu le 12 février 2025 déjà.</w:t>
      </w:r>
    </w:p>
    <w:p>
      <w:r>
        <w:rPr>
          <w:b/>
        </w:rPr>
        <w:t>E. 17</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t>- 7/8 - A/432/2025</w:t>
      </w:r>
    </w:p>
    <w:p>
      <w:r>
        <w:rPr>
          <w:b/>
        </w:rPr>
        <w:t>E. 18</w:t>
      </w:r>
    </w:p>
    <w:p>
      <w:r>
        <w:t>En l'espèce, concernant la durée de la détention, eu égard à l'ensemble des circonstances, il y a lieu de confirmer l'ordre de mise en détention administrative pour une durée de trois semaines, qui respecte l'art. 79 LEI et n'apparaît pas disproportionnée. Sa portée s'avère au demeurant très relative dès lors que le renvoi de M. A______ pourra être finalisé le 12 février 2025, et que sa détention prendra immédiatement fin une fois qu'il aura passé la frontière avec l'Italie. En revanche, si, pour une raison ou une autre, son renvoi ne pouvait avoir lieu à cette occasion, la police devrait pouvoir disposer du temps nécessaire pour l'organiser à nouveau. 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18 février 2025 au plus tard, si l'exécution du renvoi s'est concrétisée ou non.</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- 8/8 - A/432/2025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