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JTAPI/161/2025 vom 1. Februar 2025</w:t>
      </w:r>
    </w:p>
    <w:p>
      <w:r>
        <w:t>GE Cour de justice, 2025-02-01, FR</w:t>
      </w:r>
    </w:p>
    <w:p>
      <w:r>
        <w:rPr>
          <w:b/>
        </w:rPr>
        <w:t xml:space="preserve">Quelle: </w:t>
      </w:r>
      <w:r>
        <w:t>https://mcp.opencaselaw.ch/entscheid/ge_gerichte_JTAPI_161_2025</w:t>
      </w:r>
    </w:p>
    <w:p>
      <w:r>
        <w:t>FR: GE_GERICHTE JTAPI/161/2025 du 1 février 2025</w:t>
      </w:r>
    </w:p>
    <w:p>
      <w:r>
        <w:t>IT: GE_GERICHTE JTAPI/161/2025 del 1 febbraio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Toute personne directement touchée par la mesure d’éloignement a le droit d’en solliciter la prolongation auprès du Tribunal administratif de première instance, au plus tard 4 jours avant l’expiration de la mesure (art. 11 al. 2 LVD).</w:t>
      </w:r>
    </w:p>
    <w:p>
      <w:r>
        <w:rPr>
          <w:b/>
        </w:rPr>
        <w:t>E. 3</w:t>
      </w:r>
    </w:p>
    <w:p>
      <w:r>
        <w:t>Déposée en temps utile et dans les formes prescrites devant la juridiction compétente, la demande de prolongation est recevable au sens de la disposition précitée. A cet égard, le tribunal précisera que, quand bien même la demande de prolongation n’était initialement pas signée, cette informalité a pu être réparée à bref délai, lors de l'audience du 10 février 2025, comme le permet la jurisprudence (arrêt du Tribunal fédéral 1C_39/2013 du 11 mars 2013 consid. 2.3 ; ATA/656/2013 du 1er octobre 2013).</w:t>
      </w:r>
    </w:p>
    <w:p>
      <w:r>
        <w:rPr>
          <w:b/>
        </w:rPr>
        <w:t>E. 4</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- 8/10 - A/445/2025</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faits dont Mme A______ se plaint d'avoir été victime correspondent à la notion de violences domestiques au sens défini par la loi, comme l’a retenu le tribunal dans son jugement du 10 février 2025. Il est pour le surplus indéniable que les intéressés connaissent des difficultés et que la situation est complexe et tendue</w:t>
      </w:r>
    </w:p>
    <w:p>
      <w:r>
        <w:t>- 9/10 - A/445/2025 entre eux. Leurs déclarations sont pour l’essentiel contradictoires mais le tribunal a pu se rendre compte, lors de l’audience du 10 février 2025, que la situation n’était guère apaisée entre eux. Or, à ce stade et à nouveau, la question n'est pas de savoir lequel des intéressés est plus responsable que l'autre de la situation, ce qui est bien souvent impossible à établir. L'essentiel est de séparer les intéressés en étant au moins à peu près certain que celui qui est éloigné du domicile est lui aussi l'auteur de violences, lesquelles peuvent également être psychologiques. Il sera au surplus tenu compte de la situation de plus grande vulnérabilité de Mme A______, mère de deux enfants âgés de onze et seize ans, sans ressources financières propres, ne parlant pas le français et qui semble disposer de peu de soutien à Genève. Lors de l’audience du 10 février 2025, Mme A______ semblait d’ailleurs encore très affectée par la situation, ce que vient confirmer l’attestation médicale du 6 février 2025 versée à la procédure de laquelle il ressort notamment que la situation clinique de l’intéressée, qui présente un trouble de stress post-traumatique ainsi qu’un trouble anxiodépressif mixte, s’est fortement aggravée par des épisodes répétés de violence psychique et verbale dans le cadre d’un conflit conjugal persistant avec son compagnon actuel, avec lequel elle vit sous le même toit. Ces agressions ont entraîné un traumatisme psychologique majeur provoquant une détérioration significative de son état de santé général. Dans ces circonstances, vu en particulier le caractère récent des événements, la situation visiblement conflictuelle et complexe dans laquelle les parties se trouvent, la tension palpable qui entache leurs rapports, leur volonté commune de ne plus avoir à cohabiter et les démarches envisagées à cette fin, la perspective qu'ils se retrouvent dès le 12 février 2025 sous le même toit apparaît inopportune, le risque de réitération de violences, notamment psychologiques, dans un tel contexte, ne pouvant être exclu. Partant, même si la mesure d'éloignement, a fortiori sa prolongation, n'a pas pour objectif de donner du temps aux personnes concernées pour qu'elles organisent leur vie séparée, le tribunal prolongera la mesure d'éloignement en cause jusqu'au 14 mars 2025 à 17h00. Pendant cette nouvelle période de 30 jours, il sera toujours interdit à M. B______ de contacter et de s'approcher de Mme A______, ainsi que de s'approcher et de pénétrer à son adresse privée, C______[GE]. Enfin, il sera rappelé que M. B______ pourra, cas échéant, venir chercher dans l'appartement des effets personnels, à une date préalablement convenue par les parties et accompagné de la police.</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- 10/10 - A/445/2025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