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JTAPI/160/2025 vom 19. Juni 2019</w:t>
      </w:r>
    </w:p>
    <w:p>
      <w:r>
        <w:t>GE Cour de justice, 2019-06-19, FR</w:t>
      </w:r>
    </w:p>
    <w:p>
      <w:r>
        <w:rPr>
          <w:b/>
        </w:rPr>
        <w:t xml:space="preserve">Quelle: </w:t>
      </w:r>
      <w:r>
        <w:t>https://mcp.opencaselaw.ch/entscheid/ge_gerichte_JTAPI_160_2025</w:t>
      </w:r>
    </w:p>
    <w:p>
      <w:r>
        <w:t>FR: GE_GERICHTE JTAPI/160/2025 du 19 juin 2019</w:t>
      </w:r>
    </w:p>
    <w:p>
      <w:r>
        <w:t>IT: GE_GERICHTE JTAPI/160/2025 del 19 giugno 2019</w:t>
      </w:r>
    </w:p>
    <w:p>
      <w:pPr>
        <w:pStyle w:val="Heading2"/>
      </w:pPr>
      <w:r>
        <w:t>Erwägungen</w:t>
      </w:r>
    </w:p>
    <w:p>
      <w:r>
        <w:rPr>
          <w:b/>
        </w:rPr>
        <w:t>E. 1</w:t>
      </w:r>
    </w:p>
    <w:p>
      <w:r>
        <w:t>Le Tribunal administratif de première instance connaît des recours dirigés, comme en l’espèce, contre les décisions de l'office cantonal de la population et des migrations relatives au statut d'étrangers dans le canton de Genève (art. 115 al. 1 et 116 al. 1 de la loi sur l’organisation judiciaire du 26 septembre 2010 - LOJ - E 2 05 ; art. 3 al. 1 de la loi d'application de la loi fédérale sur les étrangers du 16 juin 1988 - LaLEtr - F 2 10).</w:t>
      </w:r>
    </w:p>
    <w:p>
      <w:r>
        <w:rPr>
          <w:b/>
        </w:rPr>
        <w:t>E. 2</w:t>
      </w:r>
    </w:p>
    <w:p>
      <w:r>
        <w:t>Interjeté en temps utile et dans les formes prescrites devant la juridiction compétente, le recours est recevable au sens des art. 60 et 62 à 65 de la loi sur la procédure administrative du 12 septembre 1985 (LPA - E 5 10).</w:t>
      </w:r>
    </w:p>
    <w:p>
      <w:r>
        <w:t>- 8/15 - A/2952/2024</w:t>
      </w:r>
    </w:p>
    <w:p>
      <w:r>
        <w:rPr>
          <w:b/>
        </w:rPr>
        <w:t>E. 3</w:t>
      </w:r>
    </w:p>
    <w:p>
      <w:r>
        <w:t>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et de l'inégalité de traitement, le principe de la bonne foi et le principe de la proportionnalité (ATF 143 III 140 consid. 4.1.3 ; 140 I 257 consid. 6.3.1 ; 137 V 71 consid. 5.1 ; arrêt du Tribunal fédéral 8C_763/2017 du 30 octobre 2018 consid. 4.2 ; Thierry TANQUEREL, Manuel de droit administratif, 2018, n. 515 p. 179).</w:t>
      </w:r>
    </w:p>
    <w:p>
      <w:r>
        <w:rPr>
          <w:b/>
        </w:rPr>
        <w:t>E. 4</w:t>
      </w:r>
    </w:p>
    <w:p>
      <w:r>
        <w:t>Saisi d’un recours, le tribunal applique le droit d’office. Il ne peut pas aller au-delà des conclusions des parties, mais n’est lié ni par les motifs invoqués par celles-ci (art. 69 al. 1 LPA), ni par leur argumentation juridique (cf. ATA/386/2018 du 24 avril 2018 consid. 1b ; ATA/117/2016 du 9 février 2016 consid. 2 ; ATA/723/2015 du 14 juillet 2015 consid. 4a).</w:t>
      </w:r>
    </w:p>
    <w:p>
      <w:r>
        <w:rPr>
          <w:b/>
        </w:rPr>
        <w:t>E. 5</w:t>
      </w:r>
    </w:p>
    <w:p>
      <w:r>
        <w:t>Les arguments formulés par les parties à l’appui de leurs conclusions respectives et le contenu des pièces qu’elles ont produites seront repris et discutés dans la seule mesure utile (cf. arrêts du Tribunal fédéral 1C_72/2017 du 14 septembre 2017 consid. 4.1 ; 1D_2/2017 du 22 mars 2017 consid. 5.1 ; 1C_304/2016 du 5 décembre 2016 consid. 3.1 ; 1C_592/2015 du 27 juillet 2016 consid. 4.1 ; 1C_229/2016 du 25 juillet 2016 consid. 3.1 et les arrêts cités), étant rappelé que, saisi d’un recours, le tribunal applique le droit d’office et que s’il ne peut pas aller au-delà des conclusions des parties, il n’est lié ni par les motifs invoqués par celles-ci (art. 69 al. 1 LPA), ni par leur argumentation juridique (cf. ATA/386/2018 du 24 avril 2018 consid. 1b ; ATA/117/2016 du 9 février 2016 consid. 2 ; ATA/723/2015 du 14 juillet 2015 consid. 4a). Aussi peut-il admettre le recours pour d’autres motifs que ceux invoqués par le recourant, comme il peut le rejeter en opérant une substitution de motifs (cf. ATF 135 III 397 consid. 1.4 ; arrêts du Tribunal fédéral 2C_540/2013 du 5 décembre 2013 consid. 3 ; 2C_349/2012 du 18 mars 2013 consid. 2.1 ; arrêt du Tribunal administratif fédéral F-1734/2019 du 23 mars 2020 consid. 2).</w:t>
      </w:r>
    </w:p>
    <w:p>
      <w:r>
        <w:rPr>
          <w:b/>
        </w:rPr>
        <w:t>E. 6</w:t>
      </w:r>
    </w:p>
    <w:p>
      <w:r>
        <w:t>L’objet du litige est principalement défini par l’objet du recours (ou objet de la contestation), les conclusions du recourant et, accessoirement, par les griefs ou motifs qu’il invoque. L’objet du litige correspond objectivement à l’objet de la décision attaquée, qui délimite son cadre matériel admissible (cf. ATF 136 V 362 consid. 3.4 et 4.2 ; 134 V 418 consid. 5.2.1 ; arrêts du Tribunal fédéral 2C_641/2018 du 3 août 2018 consid. 3 ; 2C_53/2017 du 21 juillet 2017 consid. 5.1 , 2C_581/2010 du 28 mars 2011 consid. 1.5 ; ATA/1218/2017 du 22 août 2017 consid. 3b et l’arrêt cité ; ATA/590/2017 du 23 mai 2017 consid. 2b ; ATA/1050/2016 du 13 décembre</w:t>
      </w:r>
    </w:p>
    <w:p>
      <w:r>
        <w:t>- 9/15 - A/2952/2024 2016 consid. 3b). La contestation ne peut donc excéder l’objet de la décision attaquée, c’est-à-dire les prétentions ou les rapports juridiques sur lesquels l’autorité inférieure s’est prononcée ou aurait dû se prononcer (ATA/1218/2017 du 22 août 2017 consid. 3b ; ATA/421/2017 du 11 avril 2017 consid. 5 et les arrêts cités ; ATA/1145/2015 du 27 octobre 2015 consid. 4b).</w:t>
      </w:r>
    </w:p>
    <w:p>
      <w:r>
        <w:rPr>
          <w:b/>
        </w:rPr>
        <w:t>E. 7</w:t>
      </w:r>
    </w:p>
    <w:p>
      <w:r>
        <w:t>A titre préalable, le recourant reproche à l’OCPM d’avoir violé son droit d’être entendu et sollicite en outre sa comparution personnelle.</w:t>
      </w:r>
    </w:p>
    <w:p>
      <w:r>
        <w:rPr>
          <w:b/>
        </w:rPr>
        <w:t>E. 7.2</w:t>
      </w:r>
    </w:p>
    <w:p>
      <w:r>
        <w:t>; 2C_883/2018 du 21 mars 2019 consid. 4.4 ; 2C_556/2018 du 14 novembre 2018 consid. 3 ; 2C_198/2018 du 25 juin 2018 consid. 3.3).</w:t>
      </w:r>
    </w:p>
    <w:p>
      <w:r>
        <w:rPr>
          <w:b/>
        </w:rPr>
        <w:t>E. 8</w:t>
      </w:r>
    </w:p>
    <w:p>
      <w:r>
        <w:t>Garanti par l'art. 29 al. 2 Cst., le droit d'être entendu est une garantie constitutionnelle de caractère formel, dont la violation entraîne, lorsque sa réparation par l’autorité de recours n’est pas possible, l’annulation de la décision attaquée sans égard aux chances de succès du recours sur le fond (ATF 137 I 195 consid. 2.2 ; 135 I 279 consid. 2.6.1 ; 135 I 187 consid. 2.2 ; arrêts du Tribunal fédéral 8C_529/2016 du 26 octobre 2016 consid. 4.2.1 ; 5A_681/2014 du 14 avril 2015 consid. 31 ; ATA/289/ 2018 du 27 mars 2018 consid. 2b). Ce moyen doit dès lors être examiné en premier lieu (ATF 137 I 195 consid. 2.2). Il comprend notamment le droit, pour l'intéressé,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145 I 167 consid. 4.1 ; 142 II 218 consid. 2.3 ; 140 I 285 consid. 6.3.1 et les arrêts cités). Ce droit ne s’étend toutefois qu’aux éléments pertinents pour décider de l’issue du litige et le droit de faire administrer des preuves n’empêche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140 I 285 consid. 6.3.1 ; arrêt du Tribunal fédéral 1C_159/2020 du 5 octobre 2020 consid. 2.2.1). Par ailleurs, il ne confère pas le droit d'être entendu oralement, ni celui d'obtenir l'audition de témoins (art. 41 in fine LPA ; ATF 134 I 140 consid. 5.3 ; arrêt du Tribunal fédéral 2C_901/2014 du 27 janvier 2015 consid. 3).</w:t>
      </w:r>
    </w:p>
    <w:p>
      <w:r>
        <w:rPr>
          <w:b/>
        </w:rPr>
        <w:t>E. 9</w:t>
      </w:r>
    </w:p>
    <w:p>
      <w:r>
        <w:t>En l'espèce, le tribunal estime que le dossier contient les éléments suffisants et nécessaires, tel qu'ils ressortent des écritures des parties, des pièces produites et du dossier de l'autorité intimée, pour statuer sur le litige, de sorte qu'il n'apparaît pas utile de procéder à la comparution personnelle du recourant, en soi non obligatoire. Il a en effet eu la possibilité de faire valoir ses arguments à plusieurs reprises dans le cadre du recours et de produire tout moyen de preuve utile en annexe de ses écritures, sans qu’il n'explique quels éléments de la procédure écrite l’aurait empêché de s'exprimer de manière pertinente et complète. Il a donc correctement pu exercer son droit d’être entendu.</w:t>
      </w:r>
    </w:p>
    <w:p>
      <w:r>
        <w:t>- 10/15 - A/2952/2024 Ce premier grief sera donc rejeté.</w:t>
      </w:r>
    </w:p>
    <w:p>
      <w:r>
        <w:rPr>
          <w:b/>
        </w:rPr>
        <w:t>E. 10</w:t>
      </w:r>
    </w:p>
    <w:p>
      <w:r>
        <w:t>Sur le fond, le recourant estime que l’OCPM aurait dû entrer en matière sur sa demande de reconsidération.</w:t>
      </w:r>
    </w:p>
    <w:p>
      <w:r>
        <w:rPr>
          <w:b/>
        </w:rPr>
        <w:t>E. 11</w:t>
      </w:r>
    </w:p>
    <w:p>
      <w:r>
        <w:t>De façon générale, une demande de reconsidération peut être présentée en tout temps et par toute personne qui aurait la qualité pour recourir contre la décision, objet de la demande au moment du dépôt de celle-ci. Elle a pour but d'obtenir la modification de la décision d'origine. Le plus souvent, elle tendra à la révocation d'une décision valable à l'origine, imposant une obligation à un particulier (ATA/355/2011 du 31 mai 2011 consid. 4e et les références citées ; cf. également Thierry TANQUEREL, op. cit., n. 1414 ss pp. 476 ss). Elle n'est toutefois pas un moyen de droit destiné à remettre indéfiniment en question les décisions administratives, ni à éluder les dispositions légales sur les délais de recours, de sorte qu'il y a lieu d'exclure le réexamen d'une décision de première instance entrée en force lorsqu'il tend à obtenir une nouvelle appréciation de faits déjà connus en procédure ordinaire ou lorsque le requérant le sollicite en se fondant sur des faits ou des moyens de preuve qui auraient pu et dû être invoqués dans la procédure ordinaire (ATF 136 II 177 consid. 2.1 ; arrêt du Tribunal fédéral 1C_165/2013 du 29 août 2013 consid. 2 ; ATA/539/2020du 29 mai 2020 consid. 5c ; Thierry TANQUEREL, op. cit., n. 1417 p. 477). Il n'existe en principe pas de droit non seulement à une nouvelle décision, mais déjà à ce que l'autorité saisie procède à un nouvel examen de la situation (ATA/ 355/2011 du 31 mai 2011 consid. 4f ; Thierry TANQUEREL, op. cit., n. 1417 p. 477). L'existence d'une procédure de réexamen ne peut pas avoir pour conséquence qu'une autorité doive sans cesse reprendre les mêmes affaires (ATF 120 Ib 42 ; arrêt du Tribunal fédéral 2C_638/2008 du 16 octobre 2008 consid. 3.1; arrêt du Tribunal administratif fédéral E-4060/2018 du 7 août 2018). L'autorité doit seulement procéder à un nouvel examen si la loi le lui impose. Au-delà de cela, l'auteur de la demande de réexamen n'a aucun droit à obtenir une nouvelle décision, ni à exiger de l'autorité qu'elle procède à un nouvel examen (ATA/539/2020du 29 mai 2020 consid. 5c ; ATA/830/2016 du 4 octobre 2016 consid. 2a).</w:t>
      </w:r>
    </w:p>
    <w:p>
      <w:r>
        <w:rPr>
          <w:b/>
        </w:rPr>
        <w:t>E. 12</w:t>
      </w:r>
    </w:p>
    <w:p>
      <w:r>
        <w:t>La jurisprudence a en effet déduit des garanties générales de procédure de l'art. 29 al. 1 Cst. l'obligation, pour l'autorité administrative, de se saisir d'une demande de réexamen lorsque les circonstances de fait ont subi, depuis la première décision, une modification notable, ou si le requérant invoque des faits ou des moyens de preuve importants qu'il ne connaissait pas lors de la première décision, ou dont il ne pouvait pas se prévaloir ou n'avait pas de raison de se prévaloir à cette époque (ATF 136 II 177 consid. 2.1 ; 130 II 32 consid. 2.4 ; arrêt du Tribunal fédéral 1C_165/2013 du 29 août 2013 consid. 2 ; Thierry TANQUEREL, op. cit., n. 1417 p. 477, n. 1421 s. p. 478 et les arrêts cités). C'est ce que prévoit, en droit genevois, l'art. 48 LPA (cf. infra ; Thierry TANQUEREL, op. cit., n. 1422 p. 478).</w:t>
      </w:r>
    </w:p>
    <w:p>
      <w:r>
        <w:t>- 11/15 - A/2952/2024 Lorsque des motifs de cette nature sont établis, l'autorité est donc tenue d'entrer en matière (Pierre MOOR/Étienne POLTIER, Droit administratif, vol. II, 3ème éd., 2011, ch. 2.4.4.2 p. 399).</w:t>
      </w:r>
    </w:p>
    <w:p>
      <w:r>
        <w:rPr>
          <w:b/>
        </w:rPr>
        <w:t>E. 13</w:t>
      </w:r>
    </w:p>
    <w:p>
      <w:r>
        <w:t>Selon l'art. 48 al. 1 LPA, les demandes en reconsidération de décisions prises par les autorités administratives sont recevables lorsqu'un motif de révision au sens de l'art. 80 let. a et b LPA existe (let. a) ou lorsque les circonstances se sont modifiées dans une mesure notable depuis la première décision (let. b).</w:t>
      </w:r>
    </w:p>
    <w:p>
      <w:r>
        <w:rPr>
          <w:b/>
        </w:rPr>
        <w:t>E. 14</w:t>
      </w:r>
    </w:p>
    <w:p>
      <w:r>
        <w:t>En vertu de l’art. 48 al. 1 let. b LPA, dont l’application est seule envisageable en l’espèce, il faut que la situation du destinataire de la décision se soit notablement modifiée depuis la première décision. Il faut entendre par là des faits nouveaux « nouveaux » (vrais nova), c'est-à-dire survenus après la prise de la décision litigieuse, qui modifient de manière importante l'état de fait ou les bases juridiques sur lesquels l'autorité a fondé sa décision, justifiant par là sa remise en cause (ATA/1620/2019 du 5 novembre 2019 consid. 3a ; ATA/159/2018 du 20 février 2018 consid. 3a). Pour qu'une telle condition soit réalisée, il faut que survienne une modification importante de l'état de fait ou des bases juridiques, ayant pour conséquence, malgré l'autorité de la chose jugée rattachée à la décision en force, que cette dernière doit être remise en question (ATA/1239/2020 du 8 décembre 2020 consid. 3b ; ATA/539/2020 du 29 mai 2020 consid. 4b ; ATA/1244/2019 du 13 août 2019 consid. 5 ; ATA/159/2018 du 20 février 2018 consid. 3a). L'existence d'une modification notable des circonstances au sens de l'art. 48 al. 1 let. b LPA doit être suffisamment motivée, en ce sens que l'intéressé ne peut pas se contenter d'alléguer l'existence d'un changement notable de circonstances, mais doit expliquer en quoi les faits dont il se prévaut représenteraient un changement notable des circonstances depuis la décision entrée en force ; à défaut, l'autorité de première instance n'entre pas en matière et déclare la demande irrecevable (ATA/573/2013 du 28 août 2013 consid. 4). De plus, la charge de la preuve relative à l'existence d'une situation de réexamen obligatoire d'une décision en force incombe à celui qui en fait la demande, ce qui implique qu'il produise d'emblée devant l'autorité qu'il saisit les moyens de preuve destinés à établir les faits qu'il allègue (ATA/291/2017 du 14 mars 2017 consid. 4).</w:t>
      </w:r>
    </w:p>
    <w:p>
      <w:r>
        <w:rPr>
          <w:b/>
        </w:rPr>
        <w:t>E. 15</w:t>
      </w:r>
    </w:p>
    <w:p>
      <w:r>
        <w:t>Saisie d'une demande de réexamen, l'autorité doit procéder en deux étapes : elle examine d'abord la pertinence du fait nouveau invoqué, sans ouvrir d'instruction sur le fond du litige, et décide ou non d'entrer en matière. Un recours contre cette décision est ouvert, le contentieux étant limité uniquement à la question de savoir si le fait nouveau allégué doit contraindre l'autorité à réexaminer la situation (ATF 117 V 8 consid. 2a ; 109 Ib 246 consid. 4a ; arrêts du Tribunal fédéral 2C_172/2013 du 21 juin 2013 consid. 1.4 ; 2C_504/2013 du 5 juin 2013 consid. 3 ; 2C_349/2012 du 18 mars 2013 consid. 5.1 ; ATA/1239/2020 du 8 décembre 2020 consid. 3d). Ainsi, dans la mesure où la décision attaquée ne porte que sur la question de la recevabilité de la demande de réexamen, le recourant ne peut que contester le refus d'entrer en matière que l'autorité intimée lui a opposé, mais non invoquer le fond, à</w:t>
      </w:r>
    </w:p>
    <w:p>
      <w:r>
        <w:t>- 12/15 - A/2952/2024 savoir l'existence des conditions justifiant l'octroi d'une autorisation de séjour, des conclusions prises à cet égard n'étant pas recevables (cf. ATF 126 II 377 consid. 8d ; arrêts du Tribunal fédéral 2C_115/2016 du 31 mars 2016 consid. 5 ; 2C_172/2013 du 21 juin 2013 consid. 1.4 ; 2C_504/2013 du 5 juin 2013 consid. 3). Si la juridiction de recours retient la survenance d'une modification des circonstances, elle doit renvoyer le dossier à l'autorité intimée, afin que celle-ci le reconsidère (cf. Jacques DUBEY/Jean-Baptiste ZUFFEREY, Droit administratif général, 2014, n. 2148), ce qui n'impliquera pas nécessairement que la décision d'origine sera modifiée (cf. Thierry TANQUEREL, op. cit., n. 1429 p. 493). Ainsi, ce n'est pas parce qu'il existe un droit à un nouvel examen de la cause que l'étranger peut d'emblée prétendre à l'octroi d'une nouvelle autorisation. Les raisons qui ont conduit l'autorité à révoquer, à ne pas prolonger ou à ne pas octroyer d'autorisation lors d'une procédure précédente ne perdent pas leur pertinence. L'autorité doit toutefois procéder à une nouvelle pesée complète des intérêts en présence, dans laquelle elle prendra notamment en compte l'écoulement du temps. Il ne s'agit cependant pas d'examiner librement les conditions posées à l'octroi d'une autorisation, comme cela serait le cas lors d'une première demande d'autorisation, mais de déterminer si les circonstances se sont modifiées dans une mesure juridiquement pertinente depuis la révocation de l'autorisation, respectivement depuis le refus de son octroi ou de sa prolongation (cf. arrêts du Tribunal fédéral 2C_203/2020 du 8 mai 2020 consid. 4.3 ; 2C_176/2019 du 31 juillet 2019 consid.</w:t>
      </w:r>
    </w:p>
    <w:p>
      <w:r>
        <w:rPr>
          <w:b/>
        </w:rPr>
        <w:t>E. 16</w:t>
      </w:r>
    </w:p>
    <w:p>
      <w:r>
        <w:t>En droit des étrangers, le résultat est identique que l'on parle de demande de réexamen ou de nouvelle demande d'autorisation : l'autorité administrative, laquelle se base sur l'état de fait actuel, qui traiterait une requête comme une nouvelle demande, n'octroiera pas une autorisation de séjour dans un cas où elle l'a refusée auparavant si la situation n'a pas changé ; et si la situation a changé, les conditions posées au réexamen seront en principe remplies (arrêt du Tribunal fédéral 2C_715/2011 du 2 mai 2012 consid. 4.2 ; ATA/1620/2019 du 5 novembre 2019 consid. 3e ; ATA/1244/2019 13 août 2019 consid. 5b). Si l'écoulement du temps et la poursuite d'une intégration socio-professionnelle constituent des modifications des circonstances, ces éléments ne peuvent pas toutefois être qualifiés de notables au sens de l'art. 48 al. 1 let. b LPA lorsqu'ils résultent uniquement du fait que l'étranger ne s'est pas conformé à une décision initiale malgré son entrée en force (ATA/539/2020 du 29 mai 2020 consid. 4b ; ATA/1818/2019 du 17 décembre 2019 consid. 2b). Le fait d'invoquer des faits nouveaux résultant pour l'essentiel de l'écoulement du temps, que le recourant a largement favorisé, peut d'ailleurs être reconnu comme un procédé dilatoire (cf. arrêt du Tribunal fédéral 2A.271/2004 du 7 octobre 2004).</w:t>
      </w:r>
    </w:p>
    <w:p>
      <w:r>
        <w:rPr>
          <w:b/>
        </w:rPr>
        <w:t>E. 17</w:t>
      </w:r>
    </w:p>
    <w:p>
      <w:r>
        <w:t>L'existence d'une modification notable des circonstances au sens de l'art. 48 al. 1 let. b LPA doit être suffisamment motivée, en ce sens que l'intéressé ne peut pas se</w:t>
      </w:r>
    </w:p>
    <w:p>
      <w:r>
        <w:t>- 13/15 - A/2952/2024 contenter d'alléguer l'existence d'un changement notable de circonstances, mais doit expliquer en quoi les faits dont il se prévaut représenteraient un changement notable des circonstances depuis la décision entrée en force ; à défaut, l'autorité de première instance n'entre pas en matière et déclare la demande irrecevable (ATA/573/2013 du 28 août 2013 consid. 4). De plus, la charge de la preuve relative à l'existence d'une situation de réexamen obligatoire d'une décision en force incombe à celui qui en fait la demande. Cela implique qu'il produise d'emblée devant l'autorité qu'il saisit les moyens de preuve destinés à établir les faits qu'il allègue (ATA/291/2017 du 14 mars 2017 consid. 4).</w:t>
      </w:r>
    </w:p>
    <w:p>
      <w:r>
        <w:rPr>
          <w:b/>
        </w:rPr>
        <w:t>E. 18</w:t>
      </w:r>
    </w:p>
    <w:p>
      <w:r>
        <w:t>Dans son arrêt du 25 août 2023 (6B_244/2023 consid. 6.8), le Tribunal fédéral a relevé que diverses autorités ont été en mesure de constater que le système de santé au Kosovo est en voie de progression (arrêt du Tribunal administratif fédéral F- 3527/2019 du 30 avril 2021 consid. 7.2.4). Même si l'introduction d'une couverture universelle n'est pas achevée (Commission européenne, Commission Staff working document, Kosovo 2022 report, 12 octobre 2022, p. 91), s'il fait face à des difficultés pour retenir son personnel attiré par la possibilité de travailler à l'étranger et si des résidents peuvent être amenés à effectuer des examens de routine dans des pays limitrophes (arrêt du Tribunal administratif fédéral précité F-3527/2019 consid. 7.2.4; v. aussi Secrétariat d'Etat aux migrations, Focus Kosovo medizinische Grundversorgung, 2017, ch. 6.5), le système public de santé kosovar, organisé sur trois niveaux, est en mesure d'offrir des prestations médicales correctes; les soins de base sont en principe assurés (arrêts du Tribunal administratif fédéral F-1602/2020 du 14 février 2022 consid. 5.3.8; D-2958/2018 du 12 novembre 2018 consid. 8.4.2) et l'accès à ces soins libre (Commission européenne, loc. cit.). L'offre est suffisante sur un plan quantitatif (Secrétariat d'Etat aux migrations, op. cit., ch. 6.2) et répartie sur l'ensemble du territoire. Dans ce dernier document, le SEM a également constaté que rien n'indiquait que les personnes de retour au Kosovo n'auraient pas un plein accès aux prestations, y compris à celles offertes aux administrés dispensés d'en assumer les frais, cercle qui semble inclure notamment les patients souffrant d'affections chroniques. Cette offre publique est complétée par des fournisseurs de prestations privés (SEM, op. cit., ch. 7.3 et 8.1; Internationale Organisation für Migration [IOM] Deutschland, Kosovo Länderinformationsblatt 2020 ch. 1). La chambre administrative, citant le rapport « Landinfo » du 3 mars 2023 relatif au système de soins de santé au Kosovo, a jugé que ce pays offrait les soins nécessaires dans le domaine de la psychiatrique (ATA/1046/2023 du 26 septembre 2023 consid.10). En particulier, le nombre d’établissements de soins de santé mentale y avait considérablement augmenté depuis 2000. Les soins psychiatriques de niveau secondaire sont dispensés dans les services psychiatriques des hôpitaux régionaux de Prizren, Pejë/Pec, Gjakovë/Djakovica, Ferizaj/Urosevac et Gjilan/Gnjilane et Mitrovicë/Mtitrovica ainsi qu’à l’hôpital universitaire de Pristina. Un site Web fournissait des informations sur le personnel et les services de chaque hôpital. Des centres de santé mentale avaient par ailleurs été créés dans toutes les grandes villes.</w:t>
      </w:r>
    </w:p>
    <w:p>
      <w:r>
        <w:t>- 14/15 - A/2952/2024 Il proposait des conseils et des activités de jour pour les clients, avec des thérapies individuelles, de groupe et familiales. Il proposait également des visites à domicile. Les patients étaient suivis par des psychiatres, des travailleurs sociaux et des infirmiers psychiatriques.</w:t>
      </w:r>
    </w:p>
    <w:p>
      <w:r>
        <w:rPr>
          <w:b/>
        </w:rPr>
        <w:t>E. 19</w:t>
      </w:r>
    </w:p>
    <w:p>
      <w:r>
        <w:t>Les demandes en reconsidération n’entraînent ni interruption de délai ni effet suspensif (art. 48 al. 2 LPA).</w:t>
      </w:r>
    </w:p>
    <w:p>
      <w:r>
        <w:rPr>
          <w:b/>
        </w:rPr>
        <w:t>E. 20</w:t>
      </w:r>
    </w:p>
    <w:p>
      <w:r>
        <w:t>En l'espèce, le recourant invoque à l'appui de sa demande en reconsidération le fait qu’il souffre d’une dépression et se trouve dans un état de détresse très important nécessitant un traitement médicamenteux, situation médicale essentiellement due à sa crainte d’une expulsion. Il invoque également le temps écoulé et qu’il serait ainsi, à ce jour, en Suisse depuis quatorze ans. Force est de constater que ces « éléments nouveaux » découlent essentiellement de l’écoulement du temps mis à profit par le recourant pour poursuivre son séjour en Suisse, alors qu'il fait l'objet d'une décision de renvoi, entrée en force, prononcée par l'OCPM le 21 octobre 2021 et lui impartissant un délai au 3 janvier 2022 pour quitter la Suisse. Concernant notamment son état dépressif allégué, il n'est pas de nature à remettre en cause la décision entreprise, dans la mesure où sa santé ne serait pas gravement compromise en cas de retour dans son pays d'origine vu l’accès aux soins disponibles au Kosovo. Par ailleurs, il sera relevé que cet état de santé n’est dû qu’à la crainte d’un renvoi au Kosovo et qu’il n’est pas si alarmant puisqu’il n’empêche pas le recourant d’exercer son activité professionnelle. Enfin, le certificat médical produit n’indique pas quels médicaments lui ont été prescrits et qui ne pourraient pas être obtenus en cas de retour au Kosovo. Par ailleurs, comme retenu par la jurisprudence, si l'écoulement du temps et la poursuite d'une intégration socio-professionnelle constituent des modifications des circonstances, ces éléments ne peuvent pas toutefois être qualifiés de notables au sens de l'art. 48 al. 1 let. b LPA lorsqu'ils résultent uniquement du fait que l'étranger ne s'est pas conformé à une décision initiale malgré son entrée en force, ce qui est le cas en l’espèce. Partant, le recourant ne fait pas valoir une modification notable des circonstances susceptible de fonder le réexamen de la décision de l’OCPM du 29 octobre 2021.</w:t>
      </w:r>
    </w:p>
    <w:p>
      <w:r>
        <w:rPr>
          <w:b/>
        </w:rPr>
        <w:t>E. 21</w:t>
      </w:r>
    </w:p>
    <w:p>
      <w:r>
        <w:t>C'est dès lors à bon droit que l'OCPM a refusé d'entrer en matière sur sa demande en reconsidération.</w:t>
      </w:r>
    </w:p>
    <w:p>
      <w:r>
        <w:rPr>
          <w:b/>
        </w:rPr>
        <w:t>E. 22</w:t>
      </w:r>
    </w:p>
    <w:p>
      <w:r>
        <w:t>Le recours sera donc rejeté et la décision contestée confirmée. Dès lors, la question de la restitution de l’effet suspensif au recours est devenue sans objet.</w:t>
      </w:r>
    </w:p>
    <w:p>
      <w:r>
        <w:rPr>
          <w:b/>
        </w:rPr>
        <w:t>E. 23</w:t>
      </w:r>
    </w:p>
    <w:p>
      <w:r>
        <w:t>En application des art. 87 al. 1 LPA et 1 et 2 du règlement sur les frais, émoluments et indemnités en procédure administrative du 30 juillet 1986 (RFPA - E 5 10.03), le recourant, qui succombe, est condamné au paiement d’un émolument s'élevant à</w:t>
      </w:r>
    </w:p>
    <w:p>
      <w:r>
        <w:t>- 15/15 - A/2952/2024 CHF 700.- ; il est partiellement couvert par l’avance de frais versée à la suite du dépôt du recours. Vu l’issue du litige, aucune indemnité de procédure ne sera allouée (art. 87 al. 2 LPA).</w:t>
      </w:r>
    </w:p>
    <w:p>
      <w:r>
        <w:rPr>
          <w:b/>
        </w:rPr>
        <w:t>E. 24</w:t>
      </w:r>
    </w:p>
    <w:p>
      <w:r>
        <w:t>En vertu des art. 89 al. 2 et 111 al. 2 de la loi sur le Tribunal fédéral du 17 juin 2005 (LTF - RS 173.110), le présent jugement sera communiqué au secrétariat d'État aux migrations.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