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JTAPI/15/2024 vom 9. Januar 2024</w:t>
      </w:r>
    </w:p>
    <w:p>
      <w:r>
        <w:t>GE Cour de justice, 2024-01-09, FR</w:t>
      </w:r>
    </w:p>
    <w:p>
      <w:r>
        <w:rPr>
          <w:b/>
        </w:rPr>
        <w:t xml:space="preserve">Quelle: </w:t>
      </w:r>
      <w:r>
        <w:t>https://mcp.opencaselaw.ch/entscheid/ge_gerichte_JTAPI_15_2024</w:t>
      </w:r>
    </w:p>
    <w:p>
      <w:r>
        <w:t>FR: GE_GERICHTE JTAPI/15/2024 du 9 janvier 2024</w:t>
      </w:r>
    </w:p>
    <w:p>
      <w:r>
        <w:t>IT: GE_GERICHTE JTAPI/15/2024 del 9 gennaio 2024</w:t>
      </w:r>
    </w:p>
    <w:p>
      <w:pPr>
        <w:pStyle w:val="Heading2"/>
      </w:pPr>
      <w:r>
        <w:t>Erwägungen</w:t>
      </w:r>
    </w:p>
    <w:p>
      <w:r>
        <w:rPr>
          <w:b/>
        </w:rPr>
        <w:t>E. 30</w:t>
      </w:r>
    </w:p>
    <w:p>
      <w:r>
        <w:t>Il est enfin à rappeler que 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w:t>
      </w:r>
    </w:p>
    <w:p>
      <w:r>
        <w:rPr>
          <w:b/>
        </w:rPr>
        <w:t>E. 31</w:t>
      </w:r>
    </w:p>
    <w:p>
      <w:r>
        <w:t>En l'espèce, il n’apparait pas, au vu de la jurisprudence restrictive rappelée ci-dessus, que les recourants puissent se prévaloir de circonstances particulières au sens de l'art. 9 al. 5 LDTR. Comme relevé au demeurant sous chiffre 23, il leur aurait été parfaitement possible de réaliser des travaux moins coûteux (total de CHF 150'707.- pour un appartement de deux pièces), preuve en est qu’ils avaient dans un premier temps renoncé à la majorité de ces derniers, ne les estimant vraisemblablement pas nécessaires à la mise en location de leur bien. Le procédé adopté par les recourants, consistant à limiter les travaux de rénovation pour qu’ils échappent à la LDTR puis, leur tentative ayant échoué, à requérir une autorisation complémentaire afin de procéder cette fois à de nombreux et coûteux travaux supplémentaires (plus de quatre fois le coût des premiers travaux) va ainsi manifestement à l'encontre de la jurisprudence et des buts visés par la LDTR et ne saurait dès lors aucunement constituer des circonstances particulières justifiant un dépassement du plafond LDTR au sens de l'art. 9 al. 5 LDTR. À toutes fins utiles, le tribunal relèvera encore que les conditions pour dépasser le dudit plafond sur la base des art. 9 al. 4 et 6 LDTR ne sont pas réunies dans le cas d'espèce. L'autorité intimée n'a ainsi pas excédé son pouvoir d'appréciation en refusant l'application des exceptions prévues aux art. 9 al. 4 à 6 LDTR.</w:t>
      </w:r>
    </w:p>
    <w:p>
      <w:r>
        <w:rPr>
          <w:b/>
        </w:rPr>
        <w:t>E. 32</w:t>
      </w:r>
    </w:p>
    <w:p>
      <w:r>
        <w:t>Les recourants se prévalent enfin d'une atteinte à leur droit à la propriété, ainsi qu'à leur liberté économique, dans la mesure où le loyer fixé par le département ne leur permettrait pas de couvrir le montant des factures liées à leur immeuble</w:t>
      </w:r>
    </w:p>
    <w:p>
      <w:r>
        <w:rPr>
          <w:b/>
        </w:rPr>
        <w:t>E. 33</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w:t>
      </w:r>
    </w:p>
    <w:p>
      <w:r>
        <w:t>- 20/22 - A/607/2023 (règle de la proportionnalité au sens étroit) (ATF 141 I 20 consid. 6.2.1; 140 I 168 consid. 4.2.1; 135 I 233 consid. 3.1).</w:t>
      </w:r>
    </w:p>
    <w:p>
      <w:r>
        <w:rPr>
          <w:b/>
        </w:rPr>
        <w:t>E. 34</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w:t>
      </w:r>
    </w:p>
    <w:p>
      <w:r>
        <w:rPr>
          <w:b/>
        </w:rPr>
        <w:t>E. 35</w:t>
      </w:r>
    </w:p>
    <w:p>
      <w:r>
        <w:t>Dans une affaire vaudoise, s’agissant en particulier du principe de la fixation et contrôle du loyer durant cinq ans après transformation, le Tribunal fédéral a retenu, après avoir procédé à une analyse détaillée de toutes les conditions permettant une restriction aux droits fondamentaux que la fixation du loyer, et partant l’intérêt public à la préservation d’un parc locatif répondant aux besoins de la population était légitime et justifiait l’atteinte aux garanties constitutionnelles de la propriété et de la liberté économique des propriétaires (1C_110/2017 consid. 4.1.2 et 4.2). Cet intérêt public étant également poursuivi par la LDTR genevoise, les principes dégagés par cette jurisprudence ne sauraient être écartés. Pour le surplus, la chambre administrative a eu l'occasion de confirmer la compatibilité de la LDTR avec les dispositions concernant le droit à la propriété et la liberté économique (ATA/260/2014 du 15 avril 2014 consid. 6).</w:t>
      </w:r>
    </w:p>
    <w:p>
      <w:r>
        <w:rPr>
          <w:b/>
        </w:rPr>
        <w:t>E. 36</w:t>
      </w:r>
    </w:p>
    <w:p>
      <w:r>
        <w:t>Il ressort des jurisprudences précitées que l'atteinte à la garantie de la propriété des recourants se fonde sur une base légale suffisante et répond à un intérêt public prépondérant. Elle s'avère également proportionnée, dans la mesure où l'autorité intimée a effectué une pesée des intérêts en présence et évalué l'importance des motifs fondant les mesures prononcées, à savoir la préservation du parc locatif genevois, au regard des intérêts, notamment économiques, des recourants. Les intérêts publics défendus par la LDTR doivent ainsi l’emporter sur les intérêts privés, purement économiques, de ces derniers à pouvoir louer leur appartement avec le rendement qu'ils souhaitent. L’atteinte à la garantie de propriété des recourants n’apparait également pas disproportionnée dans la mesure où le département a fixé le loyer à la limite maximale de la fourchette prévue par la loi.</w:t>
      </w:r>
    </w:p>
    <w:p>
      <w:r>
        <w:t>- 21/22 - A/607/2023 Ces développements valent également pour la garantie de la liberté économique (art. 27 Cst.). Les griefs des recourants sont dès lors écartés.</w:t>
      </w:r>
    </w:p>
    <w:p>
      <w:r>
        <w:rPr>
          <w:b/>
        </w:rPr>
        <w:t>E. 37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w:t>
      </w:r>
    </w:p>
    <w:p>
      <w:r>
        <w:rPr>
          <w:b/>
        </w:rPr>
        <w:t>E. 38</w:t>
      </w:r>
    </w:p>
    <w:p>
      <w:r>
        <w:t>Vu l’issue du litige, aucune indemnité de procédure ne sera allouée (art. 87 al. 2 LPA).</w:t>
      </w:r>
    </w:p>
    <w:p>
      <w:r>
        <w:t>- 22/22 - A/607/2023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