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JTAPI/158/2025 vom 1. Februar 2025</w:t>
      </w:r>
    </w:p>
    <w:p>
      <w:r>
        <w:t>GE Cour de justice, 2025-02-01, FR</w:t>
      </w:r>
    </w:p>
    <w:p>
      <w:r>
        <w:rPr>
          <w:b/>
        </w:rPr>
        <w:t xml:space="preserve">Quelle: </w:t>
      </w:r>
      <w:r>
        <w:t>https://mcp.opencaselaw.ch/entscheid/ge_gerichte_JTAPI_158_2025</w:t>
      </w:r>
    </w:p>
    <w:p>
      <w:r>
        <w:t>FR: GE_GERICHTE JTAPI/158/2025 du 1 février 2025</w:t>
      </w:r>
    </w:p>
    <w:p>
      <w:r>
        <w:t>IT: GE_GERICHTE JTAPI/158/2025 del 1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- 7/9 - A/407/2025</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w:t>
      </w:r>
    </w:p>
    <w:p>
      <w:r>
        <w:t>- 8/9 - A/407/2025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intéressés sont pour l’essentiel contradictoires, il ressort néanmoins clairement de ces dernières, que la situation entre eux est conflictuelle et tendue. En tout état, les faits tels que décrits par les deux époux correspondent à la notion de violence domestique, à tout le moins psychologique, au sens défini plus haut. Dans ces circonstances, la question n'est pas de savoir lequel des intéressés est plus responsable que l'autre de la situation, ce qui est bien souvent impossible à établir. L'essentiel est de séparer les intéressés en étant au moins à peu près certain que celui qui est éloigné du domicile familial est lui aussi l'auteur de violences, lesquelles peuvent également être psychologiques. Il sera au surplus tenu compte de la situation de plus grande vulnérabilité de B______, mère de deux enfants âgés de onze et seize ans, sans ressources financières propres, ne parlant pas le français et qui semble disposer de peu de soutien à Genève. Le tribunal a en outre pu constater en audience qu’elle était encore très affectée par la situation.</w:t>
      </w:r>
    </w:p>
    <w:p>
      <w:r>
        <w:rPr>
          <w:b/>
        </w:rPr>
        <w:t>E. 6</w:t>
      </w:r>
    </w:p>
    <w:p>
      <w:r>
        <w:t>Dans ces circonstances, vu en particulier le caractère récent des événements, de la situation visiblement conflictuelle et complexe dans laquelle les deux intéressés se trouvent et de la volonté clairement exprimée par ces derniers de ne plus poursuivre la vie commune, la perspective qu'ils se retrouvent immédiatement sous le même toit apparaît inopportune, quand bien même il est évident qu'une mesure d'éloignement administrative ne permettra pas, à elle seule, de régler la situation.</w:t>
      </w:r>
    </w:p>
    <w:p>
      <w:r>
        <w:rPr>
          <w:b/>
        </w:rPr>
        <w:t>E. 7</w:t>
      </w:r>
    </w:p>
    <w:p>
      <w:r>
        <w:t>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12 jours, soit proche de la durée la plus courte prévue par la loi, elle n'apparaît pas d'emblée disproportionnée, l’intéressé ayant expliqué qu’il logeait chez des amis et pourrait y rester jusqu’à la fin de la mesure.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rPr>
          <w:b/>
        </w:rPr>
        <w:t>E. 8</w:t>
      </w:r>
    </w:p>
    <w:p>
      <w:r>
        <w:t>L'opposition à la mesure sera donc rejetée.</w:t>
      </w:r>
    </w:p>
    <w:p>
      <w:r>
        <w:rPr>
          <w:b/>
        </w:rPr>
        <w:t>E. 9</w:t>
      </w:r>
    </w:p>
    <w:p>
      <w:r>
        <w:t>Il ne sera pas perçu d'émolument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- 9/9 - A/407/2025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