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JTAPI/157/2024 vom 29. Juni 2018</w:t>
      </w:r>
    </w:p>
    <w:p>
      <w:r>
        <w:t>GE Cour de justice, 2018-06-29, FR</w:t>
      </w:r>
    </w:p>
    <w:p>
      <w:r>
        <w:rPr>
          <w:b/>
        </w:rPr>
        <w:t xml:space="preserve">Quelle: </w:t>
      </w:r>
      <w:r>
        <w:t>https://mcp.opencaselaw.ch/entscheid/ge_gerichte_JTAPI_157_2024</w:t>
      </w:r>
    </w:p>
    <w:p>
      <w:r>
        <w:t>FR: GE_GERICHTE JTAPI/157/2024 du 29 juin 2018</w:t>
      </w:r>
    </w:p>
    <w:p>
      <w:r>
        <w:t>IT: GE_GERICHTE JTAPI/157/2024 del 29 giugno 2018</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t>- 6/11 - A/337/2024</w:t>
      </w:r>
    </w:p>
    <w:p>
      <w:r>
        <w:rPr>
          <w:b/>
        </w:rPr>
        <w:t>E. 05</w:t>
      </w:r>
    </w:p>
    <w:p>
      <w:r>
        <w:t>; art. 17 de la loi d'application de la législation fédérale sur la circulation routière du 18 décembre 1987 - LaLCR - H 1 05). 2. En procédure administrative, tant fédérale que cantonale, la constatation des faits est gouvernée par le principe de la libre appréciation des preuves (art. 20 al. 1 2ème phr. de la loi sur la procédure administrative du 12 septembre 1985 - LPA - E 5 10 ; ATF 139 II 185 consid. 9.2 ; 130 II 482 consid. 3.2 ; arrêt du Tribunal fédéral 2C_668/2011 du 12 avril 2011 consid. 3.3 ; ATA/190/2022 du 22 février 2022 consid. 6b ; ATA/978/2019 du 4 juin 2019 consid. 4b). Le juge forme ainsi librement sa conviction en analysant la force probante des preuves administrées et ce n'est ni le genre, ni le nombre des preuves qui est déterminant, mais leur force de persuasion (ATA/190/2022 du 22 février 2022 consid. 6b ; ATA/1198/2021 du</w:t>
      </w:r>
    </w:p>
    <w:p>
      <w:r>
        <w:rPr>
          <w:b/>
        </w:rPr>
        <w:t>E. 9</w:t>
      </w:r>
    </w:p>
    <w:p>
      <w:r>
        <w:t>novembre 2021 consid. 3b ; ATA/978/2019 du 4 juin 2019 consid. 4b et les arrêts cités). 3. Saisi d'un recours, le tribunal applique le droit d'office.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4. L'OCV prétend que tant le recours que la demande de restitution de l'effet suspensif seraient irrecevables. Il invoque le fait que les décisions des 15 mars et 4 juillet 2023 auraient été valablement notifiées au recourant, au plus tard le 18 octobre 2023, de sorte que le délai pour recourir à leur encontre serait échu, et que le courrier du 13 décembre 2023 ne constituerait pas une décision sujette à recours. De son côté, le recourant prétend que le délai de recours ne débuterait qu'à partir de la notification de la « décision » du 13 décembre 2023, laquelle comprenait et confirmait également les deux décisions précédentes.</w:t>
      </w:r>
    </w:p>
    <w:p>
      <w:r>
        <w:t>Nonobstant la demande de restitution de l'effet suspensif, il convient en préambule d'examiner la recevabilité du recours, d'une part, sous l'angle de la notification des décisions des 15 mars et 4 juillet 2023 et, d'autre part, sous celui de la qualification juridique du courrier du 13 décembre 2023. 5. Selon l'art. 46 al. 1 LPA, les décisions doivent être désignées comme telles, motivées et signées, et indiquer les voies ordinaires et délais de recours. Selon l'art. 46 al. 2 LPA, les décisions sont notifiées aux parties.</w:t>
      </w:r>
    </w:p>
    <w:p>
      <w:r>
        <w:t>- 7/11 - A/337/2024 6. Une notification irrégulière ne peut entraîner aucun préjudice pour les parties (art. 47 LPA ; cf. aussi not. arrêts du Tribunal fédéral 2C_1010/2020 du 26 février 2021 consid. 4.3 ; 2C_884/2019 du 10 mars 2020 consid. 8 ; 2C_1021/2018 du 26 juillet 2019 consid. 4.2).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Le délai de recours ne part qu'au moment où la personne concernée a eu connaissance de la décision. Cependant, celle-ci ne peut pas retarder ce moment selon son bon plaisir.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139 IV 228 consid. 1.3 ; arrêts du Tribunal fédéral 2C_1010/2020 du 26 février 2021 consid. 4.3 ; 2C_83/2020 du</w:t>
      </w:r>
    </w:p>
    <w:p>
      <w:r>
        <w:rPr>
          <w:b/>
        </w:rPr>
        <w:t>E. 14</w:t>
      </w:r>
    </w:p>
    <w:p>
      <w:r>
        <w:t>Le recourant étant au bénéfice de l'assistance juridique, cet émolument sera laissé à la charge de l’État de Genève, sous réserve du prononcé d'une décision finale du service de l’assistance juridique sur la base de l’art. 19 al. 1 du règlement sur</w:t>
      </w:r>
    </w:p>
    <w:p>
      <w:r>
        <w:t>- 10/11 - A/337/2024 l'assistance juridique et l’indemnisation des conseils juridiques et défenseurs d'office en matière civile, administrative et pénale du 28 juillet 2010 (RAJ - E 2 05.04).</w:t>
      </w:r>
    </w:p>
    <w:p>
      <w:r>
        <w:t>- 11/11 - A/337/2024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