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JTAPI/154/2024 vom 23. Februar 2024</w:t>
      </w:r>
    </w:p>
    <w:p>
      <w:r>
        <w:t>GE Cour de justice, 2024-02-23, FR</w:t>
      </w:r>
    </w:p>
    <w:p>
      <w:r>
        <w:rPr>
          <w:b/>
        </w:rPr>
        <w:t xml:space="preserve">Quelle: </w:t>
      </w:r>
      <w:r>
        <w:t>https://mcp.opencaselaw.ch/entscheid/ge_gerichte_JTAPI_154_2024</w:t>
      </w:r>
    </w:p>
    <w:p>
      <w:r>
        <w:t>FR: GE_GERICHTE JTAPI/154/2024 du 23 février 2024</w:t>
      </w:r>
    </w:p>
    <w:p>
      <w:r>
        <w:t>IT: GE_GERICHTE JTAPI/154/2024 del 23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w:t>
      </w:r>
    </w:p>
    <w:p>
      <w:r>
        <w:t>- 6/14 - A/2887/2023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conteste la décision litigieuse en lui reprochant tout d'abord de violer son droit à la protection de la vie privée et familiale, tel qu'il résulte de l'art. 8 § 1 de la Convention de sauvegarde des droits de l’homme et des libertés fondamentales du 4 novembre 1950 (CEDH - RS 0.101).</w:t>
      </w:r>
    </w:p>
    <w:p>
      <w:r>
        <w:rPr>
          <w:b/>
        </w:rPr>
        <w:t>E. 4</w:t>
      </w:r>
    </w:p>
    <w:p>
      <w:r>
        <w:t>Aux termes de l'art. 8 CEDH, dont la teneur est à cet égard identique à l'art. 13 de la Constitution fédérale de la Confédération suisse du 18 avril 1999 (Cst. - RS 101), toute personne a droit au respect de sa vie privée et de sa vie familiale, chacun de ces deux domaines étant traités de manière spécifique par la jurisprudence.</w:t>
      </w:r>
    </w:p>
    <w:p>
      <w:r>
        <w:rPr>
          <w:b/>
        </w:rPr>
        <w:t>E. 5</w:t>
      </w:r>
    </w:p>
    <w:p>
      <w:r>
        <w:t>S'agissant de la protection de la vie privée, selon la jurisprudence, la question de l'existence d'un droit à demeurer en Suisse au bénéfice d'une autorisation de séjour en raison d'un enracinement particulier dans le pays implique de se demander, dans chaque cas, si la personne étrangère concernée entretient des relations privées de nature professionnelle ou sociale particulièrement intenses en Suisse, allant au-delà d'une intégration normale. Si tel est le cas, il convient de procéder à une pesée globale des intérêts en présence plaidant en faveur ou en défaveur d'une autorisation de séjourner en Suisse (ATF 144 II 1 consid. 6.1; ATF 130 II 281 consid. 3.2.1; ATF 126 II 377 consid. 2c; ATF 120 Ib 16 consid. 3b; cf. aussi ATF 138 I 246 consid. 3.2.1). Un droit à une autorisation de séjour fondée sur ce droit fondamental dépend en règle générale de la durée pendant laquelle la personne requérante a déjà vécu en Suisse. Lorsqu'elle réside légalement dans le pays depuis plus de dix ans, il y a lieu de présumer que les liens sociaux qu'elle y a développés sont à ce point étroits qu'un refus de renouvellement d'autorisation de séjour, respectivement la révocation de celle-ci ne peuvent être prononcés que pour des motifs sérieux (ATF 146 II 185 consid. 5.2 ; ATF 144 I 266 consid. 3). Cependant, la reconnaissance finale d'un droit à séjourner en Suisse issu du droit au respect de la vie privée garanti par l'art.</w:t>
      </w:r>
    </w:p>
    <w:p>
      <w:r>
        <w:rPr>
          <w:b/>
        </w:rPr>
        <w:t>E. 8</w:t>
      </w:r>
    </w:p>
    <w:p>
      <w:r>
        <w:t>S'agissant de ses deux enfants, si l'on peut à la rigueur admettre que certains éléments du dossier permettent de retenir l'existence d'une relation suivie, le week- end et parfois durant la semaine, avec son fils B______, il est en revanche établi que le lien économique qu'il sensé également avoir avec lui, selon la jurisprudence rendue au sujet de l'art. 8 § 1 CEDH (rappelée plus haut) est en réalité, sinon inexistant, du moins très faible, vu les condamnations pénales prononcées à son encontre pour violation de ses obligations d'entretien. En tous les cas, ce lien économique n'atteint manifestement pas l'intensité exigée par la jurisprudence et le recourant ne prétend d'ailleurs pas le contraire. Le tribunal relèvera d'ailleurs, ce qui confirme les remarques faites jusqu'ici, que le recourant avait annoncé dans ses écritures de recours qu'il fournirait de plus amples explications et des documents à l'appui de ces affirmations, notamment pour confirmer les liens qu'il prétendait avoir avec son fils. Or, bien qu'informé par le tribunal qu'il pourrait fournir ces informations dans le cadre de sa réplique, le recourant ne s'est pas manifesté lorsqu'il a été invité à faire parvenir cette dernière et n'a plus donné aucune nouvelle au tribunal depuis son recours en septembre 2023.</w:t>
      </w:r>
    </w:p>
    <w:p>
      <w:r>
        <w:rPr>
          <w:b/>
        </w:rPr>
        <w:t>E. 9</w:t>
      </w:r>
    </w:p>
    <w:p>
      <w:r>
        <w:t>Au vu de ce qui précède, le grief de violation de l'art. 8 § 1 CEDH ne pourra qu'être écarté.</w:t>
      </w:r>
    </w:p>
    <w:p>
      <w:r>
        <w:rPr>
          <w:b/>
        </w:rPr>
        <w:t>E. 10</w:t>
      </w:r>
    </w:p>
    <w:p>
      <w:r>
        <w:t>Le recourant critique également la décision litigieuse en ce qu'elle aurait ignoré que sa situation correspondait à un cas individuel d'extrême gravité, au sens des art. 30 al. 1 let. b de la loi fédérale sur les étrangers et l'intégration du 16 décembre 2005 (LEI - RS 142.20) et 31 al. 1 de l'ordonnance relative à l'admission, au séjour et à l'exercice d'une activité lucrative du 24 octobre 2007 (OASA - RS 142.201).</w:t>
      </w:r>
    </w:p>
    <w:p>
      <w:r>
        <w:rPr>
          <w:b/>
        </w:rPr>
        <w:t>E. 11</w:t>
      </w:r>
    </w:p>
    <w:p>
      <w:r>
        <w:t>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12</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w:t>
      </w:r>
    </w:p>
    <w:p>
      <w:r>
        <w:t>- 12/14 - A/2887/2023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 séjourné en Suisse pendant une assez longue période, qu'il y est bien intégré, tant socialement et professionnellement, et que son comportement n'a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13</w:t>
      </w:r>
    </w:p>
    <w:p>
      <w:r>
        <w:t>En l'espèce, s'agissant des critères du cas individuel d'extrême gravité, tels qu'ils ont été rappelés ci-dessus, il suffit de renvoyer aux considérants du présent jugement qui concernent le grief du recourant relatif à la violation du droit au respect de sa vie privée et familiale. En bref, quand bien même il réside en Suisse depuis vingt ans, le recourant n'est pas parvenu à s'y enraciner.</w:t>
      </w:r>
    </w:p>
    <w:p>
      <w:r>
        <w:t>- 13/14 - A/2887/2023 On ne voit pas en quoi son renvoi au Brésil, où il a vécu toute son enfance, son adolescence ainsi que le tout début de sa vie d'adulte, pendant dix-neuf ans, le mettrait dans une situation fondamentalement différente de celle qui est la sienne en Suisse. Ainsi que cela ressort des déclarations qu'il a faites à la police, il est retourné dans son pays d'origine, avec lequel il n'a manifestement pas coupé tous les liens. Sans emploi en Suisse, son retour au Brésil ne constituerait, sous cet angle, aucune dégradation de sa situation. Il en va de même s'agissant de son enracinement social, qui paraît très faible en Suisse et qu'avec un minimum de bonne volonté il pourra développer de manière satisfaisante au Brésil. Quant au lien avec ses enfants, et en particulier avec son fils B______, on a déjà vu qu'il ne lui permettait pas de s'opposer à son renvoi sous l'angle de l'art. 8 § 1 CEDH. Au demeurant, les moyens modernes de communication, couplés avec la possibilité d'effectuer régulièrement des séjours de courte durée en Suisse, lui permettront de continuer à entretenir ce lien.</w:t>
      </w:r>
    </w:p>
    <w:p>
      <w:r>
        <w:rPr>
          <w:b/>
        </w:rPr>
        <w:t>E. 14</w:t>
      </w:r>
    </w:p>
    <w:p>
      <w:r>
        <w:t>Ainsi, le grief de violation des art. 30 al. 1 let. b LEI et 31 al. 1 OASA sera lui aussi écarté.</w:t>
      </w:r>
    </w:p>
    <w:p>
      <w:r>
        <w:rPr>
          <w:b/>
        </w:rPr>
        <w:t>E. 15</w:t>
      </w:r>
    </w:p>
    <w:p>
      <w:r>
        <w:t>Au vu de ce qui précède, la décision litigieuse apparaît correctement fondée et le recours sera rejeté.</w:t>
      </w:r>
    </w:p>
    <w:p>
      <w:r>
        <w:rPr>
          <w:b/>
        </w:rPr>
        <w:t>E. 16</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rPr>
          <w:b/>
        </w:rPr>
        <w:t>E. 17</w:t>
      </w:r>
    </w:p>
    <w:p>
      <w:r>
        <w:t>En vertu des art. 89 al. 2 et 111 al. 2 de la loi sur le Tribunal fédéral du 17 juin 2005 (LTF - RS 173.110), le présent jugement sera communiqué au secrétariat d'État aux migrations.</w:t>
      </w:r>
    </w:p>
    <w:p>
      <w:r>
        <w:t>- 14/14 - A/2887/2023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