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JTAPI/151/2025 vom 31. Januar 2025</w:t>
      </w:r>
    </w:p>
    <w:p>
      <w:r>
        <w:t>GE Cour de justice, 2025-01-31, FR</w:t>
      </w:r>
    </w:p>
    <w:p>
      <w:r>
        <w:rPr>
          <w:b/>
        </w:rPr>
        <w:t xml:space="preserve">Quelle: </w:t>
      </w:r>
      <w:r>
        <w:t>https://mcp.opencaselaw.ch/entscheid/ge_gerichte_JTAPI_151_2025</w:t>
      </w:r>
    </w:p>
    <w:p>
      <w:r>
        <w:t>FR: GE_GERICHTE JTAPI/151/2025 du 31 janvier 2025</w:t>
      </w:r>
    </w:p>
    <w:p>
      <w:r>
        <w:t>IT: GE_GERICHTE JTAPI/151/2025 del 31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w:t>
      </w:r>
    </w:p>
    <w:p>
      <w:r>
        <w:t>- 6/8 - A/387/2025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déclarations circonstanciées, constantes et mesurées de Mme B______ sont crédibles et corroborées par les photographies des blessures de l'enfant C______. De son côté, la version de A______ qui nie toute violence à l'égard de son fils et de son épouse, prétendant qu'il s'agit de mensonges de la part de cette dernière n'emporte pas conviction. Par ailleurs, ce dernier ne s'est pas conformé à l'interdiction qui lui a été faite de ne pas contacter son épouse Enfin, malgré sa condamnation à une peine privative de liberté sévère, A______ persiste à dire qu'il n'a commis aucune violence et a été condamné à tort. Il n'a aucun retour sur lui-même, ce qui suffit déjà à admettre un risque élevé de réitération s'il devait retourner au domicile familial. Au vu de ces éléments, il existe des éléments concrets que Mme B______ et C______ subissent des violences de la part de A______. Dans ces circonstances, vu en particulier le caractère récent des événements et de la tension qui entache les rapports des parties, la perspective qu'ils se retrouvent immédiatement sous le même toit apparaît inopportune, quand bien même il est évident qu'une mesure d'éloignement administrative ne permettra pas, à elle seule, de régler la situation.</w:t>
      </w:r>
    </w:p>
    <w:p>
      <w:r>
        <w:rPr>
          <w:b/>
        </w:rPr>
        <w:t>E. 6</w:t>
      </w:r>
    </w:p>
    <w:p>
      <w:r>
        <w:t>Par conséquent, l'opposition sera rejetée et la mesure d'éloignement confirmée dans son principe et sa durée.</w:t>
      </w:r>
    </w:p>
    <w:p>
      <w:r>
        <w:rPr>
          <w:b/>
        </w:rPr>
        <w:t>E. 7</w:t>
      </w:r>
    </w:p>
    <w:p>
      <w:r>
        <w:t>La demande de prolongation sera admise et la mesure d'éloignement prolongée pour une durée de 30 jours, soit jusqu'au 13 mars 2025 à 17h00.</w:t>
      </w:r>
    </w:p>
    <w:p>
      <w:r>
        <w:rPr>
          <w:b/>
        </w:rPr>
        <w:t>E. 8</w:t>
      </w:r>
    </w:p>
    <w:p>
      <w:r>
        <w:t>Il ne sera pas perçu d'émolument (art. 87 al. 1 LPA).</w:t>
      </w:r>
    </w:p>
    <w:p>
      <w:r>
        <w:t>- 7/8 - A/387/2025</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- 8/8 - A/387/2025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