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JTAPI/151/2024 vom 29. Juni 2016</w:t>
      </w:r>
    </w:p>
    <w:p>
      <w:r>
        <w:t>GE Cour de justice, 2016-06-29, FR</w:t>
      </w:r>
    </w:p>
    <w:p>
      <w:r>
        <w:rPr>
          <w:b/>
        </w:rPr>
        <w:t xml:space="preserve">Quelle: </w:t>
      </w:r>
      <w:r>
        <w:t>https://mcp.opencaselaw.ch/entscheid/ge_gerichte_JTAPI_151_2024</w:t>
      </w:r>
    </w:p>
    <w:p>
      <w:r>
        <w:t>FR: GE_GERICHTE JTAPI/151/2024 du 29 juin 2016</w:t>
      </w:r>
    </w:p>
    <w:p>
      <w:r>
        <w:t>IT: GE_GERICHTE JTAPI/151/2024 del 29 giugno 2016</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20 février 2024 à 14h00.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 ou pénètre dans une zone qui lui est interdite en vertu de l’art. 74 LEI.</w:t>
      </w:r>
    </w:p>
    <w:p>
      <w:r>
        <w:rPr>
          <w:b/>
        </w:rPr>
        <w:t>E. 6</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t>- 6/9 - A/589/2024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7</w:t>
      </w:r>
    </w:p>
    <w:p>
      <w:r>
        <w:t>En l’espèce, M. A______ fait l’objet d’une décision de renvoi de Suisse prononcée par l’OCPM le 21 septembre 2023 à destination de l’Italie. Il a été condamné à deux reprises pour non-respect d’une interdiction territoriale. Bien qu’indiquant être d’accord d’être renvoyé en Italie, confirmé encore en audience, son comportement consistant à persister à se trouver sur le territoire genevois où il n’a ni attaches, ni lieu de résidence ni source de revenu légale démontre que le risque qu’il se soustraie à son renvoi et disparaisse dans la clandestinité est avéré. Les conditions d’une détention sont dès lors fondées sur la base de l’art. 76 al. 1 let. b ch. 1, renvoyant à l'art. 75 al. 1 let. b LEI, et de l'art. 76 al. 1 let. b ch. 3 et 4 LEI.</w:t>
      </w:r>
    </w:p>
    <w:p>
      <w:r>
        <w:rPr>
          <w:b/>
        </w:rPr>
        <w:t>E. 8</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t>- 7/9 - A/589/2024</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En l'espèce, compte tenu du fait que M. A______ ne respecte pas les décisions d’interdiction territoriales qui ont été prises à son encontre et fait maintenant l’objet d’une interdiction d’entrée en Suisse, on ne voit pas pour quelles raisons, s’il était remis en liberté, il respecterait davantage lesdites mesures et notamment son obligation de se présenter aux autorités au moment de l’exécution formelle de son renvoi, de sorte que sa détention administrative paraît être le seul moyen d’assurer son expulsion vers son pays d’origine. Les autorités suisses ont par ailleurs agi avec toute la diligence possible dès lors qu'elles ont, alors qu’il se trouvait encore en détention pénale, procédé aux démarches utiles pour permettre le renvoi de M. A______ en Italie.</w:t>
      </w:r>
    </w:p>
    <w:p>
      <w:r>
        <w:rPr>
          <w:b/>
        </w:rPr>
        <w:t>E. 12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t>- 8/9 - A/589/2024</w:t>
      </w:r>
    </w:p>
    <w:p>
      <w:r>
        <w:rPr>
          <w:b/>
        </w:rPr>
        <w:t>E. 13</w:t>
      </w:r>
    </w:p>
    <w:p>
      <w:r>
        <w:t>En l'espèce, eu égard à l'ensemble des circonstances, il y a lieu de confirmer l'ordre de mise en détention administrative pour une durée de deux mois, qui respecte en soi l'art. 79 LEI et n'apparaît pas disproportionnée, étant rappelé que la détention prendra fin au moment où le renvoi pour être exécuté mais que si, pour une raison ou une autre, ce renvoi devait échouer ou que les démarches n’auraient pas aboutis dans les délais, la durée permettra aux autorités d’en entamer d’autres et, cas échéant, de solliciter la prolongation de la détention.</w:t>
      </w:r>
    </w:p>
    <w:p>
      <w:r>
        <w:rPr>
          <w:b/>
        </w:rPr>
        <w:t>E. 14</w:t>
      </w:r>
    </w:p>
    <w:p>
      <w:r>
        <w:t>Au vu de ce qui précède, il y a lieu de confirmer l'ordre de mise en détention administrative de M. A______ pour une durée de deux mois.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A/589/2024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