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JTAPI/149/2024 vom 21. Februar 2024</w:t>
      </w:r>
    </w:p>
    <w:p>
      <w:r>
        <w:t>GE Cour de justice, 2024-02-21, FR</w:t>
      </w:r>
    </w:p>
    <w:p>
      <w:r>
        <w:rPr>
          <w:b/>
        </w:rPr>
        <w:t xml:space="preserve">Quelle: </w:t>
      </w:r>
      <w:r>
        <w:t>https://mcp.opencaselaw.ch/entscheid/ge_gerichte_JTAPI_149_2024</w:t>
      </w:r>
    </w:p>
    <w:p>
      <w:r>
        <w:t>FR: GE_GERICHTE JTAPI/149/2024 du 21 février 2024</w:t>
      </w:r>
    </w:p>
    <w:p>
      <w:r>
        <w:t>IT: GE_GERICHTE JTAPI/149/2024 del 21 febbraio 2024</w:t>
      </w:r>
    </w:p>
    <w:p>
      <w:pPr>
        <w:pStyle w:val="Heading2"/>
      </w:pPr>
      <w:r>
        <w:t>Erwägungen</w:t>
      </w:r>
    </w:p>
    <w:p>
      <w:r>
        <w:rPr>
          <w:b/>
        </w:rPr>
        <w:t>E. 1</w:t>
      </w:r>
    </w:p>
    <w:p>
      <w:r>
        <w:t>Le Tribunal administratif de première instance connaît des recours dirigés, comme en l’espèce, contre les décisions de l'office cantonal des véhicules (art. 115 al. 1 et 116 al. 1 de la loi sur l’organisation judiciaire du 26 septembre 2010 - LOJ - E 2</w:t>
      </w:r>
    </w:p>
    <w:p>
      <w:r>
        <w:rPr>
          <w:b/>
        </w:rPr>
        <w:t>E. 05</w:t>
      </w:r>
    </w:p>
    <w:p>
      <w:r>
        <w:t>; art. 17 de la loi d'application de la législation fédérale sur la circulation routière du 18 décembre 1987 - LaLCR - H 1 05). 2. Interjeté en temps utile et dans les formes prescrites devant la juridiction compétente, le recours est recevable au sens des art. 62 à 65 de la loi sur la procédure administrative du 12 septembre 1985 (LPA - E 5 10). 3. Selon l'art. 14 al. 1 de la loi fédérale sur la circulation routière du 19 décembre 1958 (LCR - RS 741.01), tout conducteur de véhicule automobile doit posséder l’aptitude et les qualifications nécessaires à la conduite. Est apte à la conduite, aux termes de l'art. 14 al. 2 LCR, celui qui a atteint l’âge minimal requis (let. a), a les aptitudes physiques et psychiques requises pour conduire un véhicule automobile en toute sécurité (let. b), ne souffre d’aucune dépendance qui l’empêche de conduire un véhicule automobile en toute sécurité (let. c) et dont les antécédents attestent qu’il respecte les règles en vigueur ainsi que les autres usagers de la route (let. d). 4. Aux termes de l'art. 16d al. 1 let. b LCR, qui met en œuvre les principes posés aux art. 14 al. 2 let. c et 16 al. 1 LCR, le permis de conduire est retiré pour une durée indéterminée à la personne qui souffre d'une forme de dépendance la rendant inapte à la conduite.</w:t>
      </w:r>
    </w:p>
    <w:p>
      <w:r>
        <w:rPr>
          <w:b/>
        </w:rPr>
        <w:t>E. 5</w:t>
      </w:r>
    </w:p>
    <w:p>
      <w:r>
        <w:t>L'existence d'une dépendance à l'alcool est admise si la personne concernée consomme régulièrement des quantités exagérées d'alcool, de nature à diminuer sa capacité à conduire des véhicules automobiles, et qu'elle se révèle incapable de se libérer ou de contrôler cette habitude par sa propre volonté. La dépendance doit être telle que la personne intéressée présente plus que tout autre automobiliste le risque de se mettre au volant dans un état ne lui permettant plus d'assurer la sécurité de la circulation. La notion de dépendance au sens des art. 14 al. 2 let. c et 16d al. 1 let. b LCR ne recoupe pas la notion médicale de dépendance à l'alcool, dans la mesure où la première permet déjà d'écarter du trafic les personnes qui, par une consommation abusive d'alcool, se mettent concrètement en danger de devenir dépendantes au sens médical (ATF 129 II 82 consid. 4.1; arrêts du Tribunal fédéral 1C_131/2022 du 18 avril 2023 consid. 4.3 ; 1C_139/2023 du 11 août 2023 consid. 3.1).</w:t>
      </w:r>
    </w:p>
    <w:p>
      <w:r>
        <w:rPr>
          <w:b/>
        </w:rPr>
        <w:t>E. 6</w:t>
      </w:r>
    </w:p>
    <w:p>
      <w:r>
        <w:t>Cette mesure constitue un retrait de sécurité (cf. ATF 139 II 95 consid. 3.4.1 ; 122 II 359 consid. 1a ; arrêts du Tribunal fédéral 1C_531/2016 du 22 février 2017 consid. 2.1.2 ; 1C_593/2012 du 28 mars 2013 consid. 3.1 ; 1C_384/2011 du 7</w:t>
      </w:r>
    </w:p>
    <w:p>
      <w:r>
        <w:t>- 7/10 - A/1831/2022 février 2012 consid. 2.3.1), en ce sens qu'elle ne tend pas à réprimer et ne supposent pas la commission d'une infraction fautive à une règle de la circulation, mais est destinée à protéger la sécurité du trafic contre les conducteurs inaptes (cf. not. ATF 133 II 331 consid. 9.1 ; arrêts du Tribunal fédéral 1C_819/2013 du 25 novembre 2013 consid. 2 ; 6A.33/2001 et 35/2001 du 30 mai 2001 consid. 3a ; 6A.114/2000 du 20 février 2001 consid. 2).</w:t>
      </w:r>
    </w:p>
    <w:p>
      <w:r>
        <w:rPr>
          <w:b/>
        </w:rPr>
        <w:t>E. 7</w:t>
      </w:r>
    </w:p>
    <w:p>
      <w:r>
        <w:t>La décision de retrait de sécurité du permis pour cause d'inaptitude à la conduite au sens de l'art. 16d al. 1 let. b LCR constitue une atteinte grave à la personnalité et à la sphère privée de la personne intéressée ; elle doit donc reposer sur une instruction précise des circonstances déterminantes (ATF 139 II 95 consid. 3.4.1 ; arrêts du Tribunal fédéral 1C 139/2023 du</w:t>
      </w:r>
    </w:p>
    <w:p>
      <w:r>
        <w:rPr>
          <w:b/>
        </w:rPr>
        <w:t>E. 11</w:t>
      </w:r>
    </w:p>
    <w:p>
      <w:r>
        <w:t>En l'occurrence, le litige est circonscrit à la contestation du retrait du permis de conduire pour une durée indéterminée prononcée par l'OCV.</w:t>
      </w:r>
    </w:p>
    <w:p>
      <w:r>
        <w:rPr>
          <w:b/>
        </w:rPr>
        <w:t>E. 12</w:t>
      </w:r>
    </w:p>
    <w:p>
      <w:r>
        <w:t>Ayant conçu des doutes quant à l'aptitude à la conduite du recourant après avoir reçu une dénonciation le concernant, l'OCV a légitimement ordonné une enquête sous la forme d'une expertise médicale. Il s'est fondé, sans que cela ne soit discutable, sur les conclusions du rapport d'expertise du Dr. C______ pour nier l'aptitude à la conduite du recourant.</w:t>
      </w:r>
    </w:p>
    <w:p>
      <w:r>
        <w:rPr>
          <w:b/>
        </w:rPr>
        <w:t>E. 13</w:t>
      </w:r>
    </w:p>
    <w:p>
      <w:r>
        <w:t>Celui-ci fait grief à l'expert d'avoir retenu qu'il présentait une dépendance à l'alcool. Selon lui, une telle dépendance nécessite que trois critères issus de la Classification internationale des maladies de l'OMS (CIM-10) soient réunis, ce qui n'était pas le cas en l'espèce. Il considère qu'il n'a pas été établi qu'il était dépendant à l'alcool et implicitement qu'il présente plus de risque que toute autre de se mettre au volant dans un état ne garantissant pas une conduite sûre. Pour fonder ses conclusions, l'expert s'est basé sur le résultat sanguin démontrant une consommation d'éthanol excessive dans les trois semaines précédant le prélèvement, une reprise de la consommation suite à des problèmes personnels après un sevrage de plus de dix et plusieurs hospitalisations dues à l'alcool, une absence de trouble cognitif pouvant expliquer l'état dans lequel le recourant se trouvait le 25 février 2022, le fait qu'il ne se souvenait plus des événements du 25 février 2022, le déni de consommation de l'intéressé et le risque qu'il pourrait prendre le volant alcoolisé en raison d'une sous-estimation de sa consommation.</w:t>
      </w:r>
    </w:p>
    <w:p>
      <w:r>
        <w:t>- 9/10 - A/1831/2022 L'expert a ainsi effectué une étude circonstanciée, s'est basé sur des examens complets, notamment par une anamnèse et différents tests pour parvenir à des conclusions dûment motivées. N'ayant aucun motif sérieux de s'écarter de cette expertise claire et concise, l'OCV ne pouvait pas s'en écarter. Se fondant sur celle- ci, il a retenu une dépendance à l'alcool au sens juridique de l'art. 16d al. 1 let. b LCR et non pas au sens médical.</w:t>
      </w:r>
    </w:p>
    <w:p>
      <w:r>
        <w:rPr>
          <w:b/>
        </w:rPr>
        <w:t>E. 14</w:t>
      </w:r>
    </w:p>
    <w:p>
      <w:r>
        <w:t>Enfin, l'autorité intimée a prononcé la seule mesure prévue par la loi, laquelle dispose que, dans de telles circonstances, le retrait de sécurité est obligatoirement prononcé pour une durée indéterminée (art. 16d al. 1 LCR). Il sera également souligné que la mesure pourra être levée sur présentation d'un rapport d'expertise favorable établi par le Dr. C______.</w:t>
      </w:r>
    </w:p>
    <w:p>
      <w:r>
        <w:rPr>
          <w:b/>
        </w:rPr>
        <w:t>E. 15</w:t>
      </w:r>
    </w:p>
    <w:p>
      <w:r>
        <w:t>Partant, le recours sera rejeté et la décision de l'OCV confirmée.</w:t>
      </w:r>
    </w:p>
    <w:p>
      <w:r>
        <w:rPr>
          <w:b/>
        </w:rPr>
        <w:t>E. 16</w:t>
      </w:r>
    </w:p>
    <w:p>
      <w:r>
        <w:t>En application des art. 87 al. 1 LPA et 1 et 2 du règlement sur les frais, émoluments et indemnités en procédure administrative du 30 juillet 1986 (RFPA - E 5 10.03), le recourant qui succombe, est condamné au paiement d’un émolument s'élevant à CHF 800.- ; il est partiellement couvert par l’avance de frais versée à la suite du dépôt du recours. Vu l’issue du litige, aucune indemnité de procédure ne sera allouée (art. 87 al. 2 LPA).</w:t>
      </w:r>
    </w:p>
    <w:p>
      <w:r>
        <w:t>- 10/10 - A/1831/2022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