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JTAPI/1461/2023 vom 26. Dezember 2023</w:t>
      </w:r>
    </w:p>
    <w:p>
      <w:r>
        <w:t>GE Cour de justice, 2023-12-26, FR</w:t>
      </w:r>
    </w:p>
    <w:p>
      <w:r>
        <w:rPr>
          <w:b/>
        </w:rPr>
        <w:t xml:space="preserve">Quelle: </w:t>
      </w:r>
      <w:r>
        <w:t>https://mcp.opencaselaw.ch/entscheid/ge_gerichte_JTAPI_1461_2023</w:t>
      </w:r>
    </w:p>
    <w:p>
      <w:r>
        <w:t>FR: GE_GERICHTE JTAPI/1461/2023 du 26 décembre 2023</w:t>
      </w:r>
    </w:p>
    <w:p>
      <w:r>
        <w:t>IT: GE_GERICHTE JTAPI/1461/2023 del 26 dicembre 2023</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w:t>
      </w:r>
    </w:p>
    <w:p>
      <w:r>
        <w:t>- 13/15 - A/4257/2023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même si les déclarations des époux sont sur certains points contradictoires, il ressort clairement de ces dernières, que la situation au sein du couple est particulièrement conflictuelle depuis la première grossesse de Mme B______ en 2020 et que sa deuxième grossesse, prématurée aux yeux de M. A______, puis la naissance de l'enfant ont généré beaucoup de tensions entre les époux et de fréquentes disputes d'une certaine violence. Il ressort également du dossier que leur relation a empiré depuis que M. A______ a annoncé à son épouse, en septembre 2023 qu'il souhaitait divorcer, étant relevé qu'à deux reprises l'un ou l'autre des conjoints a fait appel à la police et qu'à une occasion les cris de Mme B______ ont alerté la concierge de telle sorte que cette dernière s'est rendue dans l'appartement familial. En accordant du crédit à ce que déclare chacune des parties, il peut être retenu que des insultes ont été échangées de part et d'autre et il parait plausible qu'il y ait également eu des violences physiques réciproques. De tels faits correspondent sans conteste à la notion de violence domestique, au sens défini plus haut. Dans ces circonstances, la question n'est pas de savoir lequel des intéressés est plus responsable que l'autre de la situation, ce qui est bien souvent impossible à établir. L'essentiel est de séparer les conjoints en étant au moins à peu près certain que celui qui est éloigné du domicile conjugal est lui aussi l'auteur de violences, lesquelles peuvent également être psychologiques. Il sera au surplus tenu compte de la situation de plus grande vulnérabilité que présente Mme B______, maman</w:t>
      </w:r>
    </w:p>
    <w:p>
      <w:r>
        <w:t>- 14/15 - A/4257/2023 de deux très jeunes enfants, âgés de 2 ans respectivement, 1 an, lesquels au demeurant ont assisté, à plusieurs reprises, aux altercations de leurs parents. M. A______ fait valoir que comme il s'engage à ne pas regagner le domicile familial avant le 5 janvier 2024 et à trouver un nouveau logement au plus vite, reconnaissant d'ailleurs que l'éloignement momentané du couple sera bénéfique à l'apaisement de la situation, la mesure litigieuse devrait être annulée, la procédure administrative étant inopportune. Le tribunal considère au contraire que la mesure prononcée par le commissaire de police qui n'implique pas un degré de preuve, mais une présomption suffisante des violences et de la personne de leur auteur, doit être confirmée en l'espèce. En effet, l'intérêt de Mme B______ - laquelle a clairement manifesté sa peur que son époux revienne au domicile familial - à ce que l'éloignement prononcé soit effectivement respecté, sous la menace de l'art. 292 du CP précité, doit l'emporter sur celui de M. A______ à ne pas être partie à une procédure administrative, ce d'autant qu'il n'a pas totalement respecté l'interdiction de contacter son épouse en communiquant avec elle par l'intermédiaire d'un groupe de messagerie téléphonique. Prise pour une durée de dix jours, soit la durée la plus courte prévue par la loi, elle n'apparaît pas d'emblée disproportionnée, l’intéressé n'étant pas empêché de voir ses enfants et étant logé chez ses parents. Dans ces conditions, l'atteinte à sa liberté personnelle résultant de la décision entreprise, qui apparaît utile, nécessaire et opportune, demeure acceptable, étant observé qu'aucune autre mesure moins incisive ne serait envisageable pour atteindre le but fixé par la LVD.</w:t>
      </w:r>
    </w:p>
    <w:p>
      <w:r>
        <w:rPr>
          <w:b/>
        </w:rPr>
        <w:t>E. 6</w:t>
      </w:r>
    </w:p>
    <w:p>
      <w:r>
        <w:t>Par conséquent, l'opposition sera rejetée.</w:t>
      </w:r>
    </w:p>
    <w:p>
      <w:r>
        <w:rPr>
          <w:b/>
        </w:rPr>
        <w:t>E. 7</w:t>
      </w:r>
    </w:p>
    <w:p>
      <w:r>
        <w:t>Il ne sera pas perçu d'émolument (art. 87 al. 1 LPA).</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- 15/15 - A/4257/2023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